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horzAnchor="margin" w:tblpY="269"/>
        <w:tblW w:w="8505" w:type="dxa"/>
        <w:tblInd w:w="0" w:type="dxa"/>
        <w:tblBorders>
          <w:top w:val="none" w:sz="0" w:space="0" w:color="auto"/>
          <w:left w:val="none" w:sz="0" w:space="0" w:color="auto"/>
          <w:bottom w:val="single" w:sz="24" w:space="0" w:color="AEBEBE"/>
          <w:right w:val="none" w:sz="0" w:space="0" w:color="auto"/>
          <w:insideH w:val="none" w:sz="0" w:space="0" w:color="auto"/>
          <w:insideV w:val="none" w:sz="0" w:space="0" w:color="auto"/>
        </w:tblBorders>
        <w:tblLook w:val="04A0" w:firstRow="1" w:lastRow="0" w:firstColumn="1" w:lastColumn="0" w:noHBand="0" w:noVBand="1"/>
      </w:tblPr>
      <w:tblGrid>
        <w:gridCol w:w="8505"/>
      </w:tblGrid>
      <w:tr w:rsidR="006A58CE" w14:paraId="72B6E171" w14:textId="77777777" w:rsidTr="006A58CE">
        <w:trPr>
          <w:trHeight w:val="988"/>
        </w:trPr>
        <w:tc>
          <w:tcPr>
            <w:tcW w:w="8505" w:type="dxa"/>
            <w:tcBorders>
              <w:top w:val="nil"/>
              <w:left w:val="nil"/>
              <w:bottom w:val="single" w:sz="24" w:space="0" w:color="AEBEBE"/>
              <w:right w:val="nil"/>
            </w:tcBorders>
          </w:tcPr>
          <w:p w14:paraId="33A7A78B" w14:textId="77777777" w:rsidR="006A58CE" w:rsidRDefault="006A58CE">
            <w:pPr>
              <w:rPr>
                <w:rFonts w:ascii="Cambria-Bold" w:hAnsi="Cambria-Bold" w:cs="Cambria-Bold"/>
                <w:b/>
                <w:bCs/>
                <w:color w:val="336868"/>
                <w:sz w:val="72"/>
                <w:szCs w:val="72"/>
                <w:lang w:val="en-US"/>
              </w:rPr>
            </w:pPr>
            <w:r>
              <w:rPr>
                <w:noProof/>
                <w:lang w:eastAsia="en-AU"/>
              </w:rPr>
              <w:drawing>
                <wp:inline distT="0" distB="0" distL="0" distR="0" wp14:anchorId="1565B0AC" wp14:editId="7937605E">
                  <wp:extent cx="5023485" cy="1670685"/>
                  <wp:effectExtent l="0" t="0" r="5715" b="571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1670685"/>
                          </a:xfrm>
                          <a:prstGeom prst="rect">
                            <a:avLst/>
                          </a:prstGeom>
                          <a:noFill/>
                        </pic:spPr>
                      </pic:pic>
                    </a:graphicData>
                  </a:graphic>
                </wp:inline>
              </w:drawing>
            </w:r>
          </w:p>
          <w:p w14:paraId="41D35690" w14:textId="77777777" w:rsidR="006A58CE" w:rsidRDefault="006A58CE">
            <w:pPr>
              <w:rPr>
                <w:rFonts w:ascii="Cambria-Bold" w:hAnsi="Cambria-Bold" w:cs="Cambria-Bold"/>
                <w:b/>
                <w:bCs/>
                <w:color w:val="336868"/>
                <w:sz w:val="72"/>
                <w:szCs w:val="72"/>
                <w:lang w:val="en-US"/>
              </w:rPr>
            </w:pPr>
          </w:p>
          <w:p w14:paraId="63ACAEB2" w14:textId="77777777" w:rsidR="006A58CE" w:rsidRDefault="006A58CE">
            <w:pPr>
              <w:rPr>
                <w:rFonts w:ascii="Cambria-Bold" w:hAnsi="Cambria-Bold" w:cs="Cambria-Bold"/>
                <w:b/>
                <w:bCs/>
                <w:color w:val="336868"/>
                <w:sz w:val="72"/>
                <w:szCs w:val="72"/>
                <w:lang w:val="en-US"/>
              </w:rPr>
            </w:pPr>
          </w:p>
        </w:tc>
      </w:tr>
    </w:tbl>
    <w:p w14:paraId="6CF392C6" w14:textId="77777777" w:rsidR="006A58CE" w:rsidRDefault="006A58CE" w:rsidP="006A58CE">
      <w:pPr>
        <w:rPr>
          <w:rFonts w:ascii="Cambria-Bold" w:hAnsi="Cambria-Bold" w:cs="Cambria-Bold"/>
          <w:b/>
          <w:bCs/>
          <w:color w:val="336868"/>
          <w:sz w:val="16"/>
          <w:szCs w:val="16"/>
          <w:lang w:val="en-US"/>
        </w:rPr>
      </w:pPr>
    </w:p>
    <w:p w14:paraId="5752B754" w14:textId="77777777" w:rsidR="006A58CE" w:rsidRDefault="006A58CE" w:rsidP="006A58CE">
      <w:pPr>
        <w:rPr>
          <w:rFonts w:ascii="Cambria-Bold" w:hAnsi="Cambria-Bold" w:cs="Cambria-Bold"/>
          <w:b/>
          <w:bCs/>
          <w:color w:val="336868"/>
          <w:sz w:val="16"/>
          <w:szCs w:val="16"/>
          <w:lang w:val="en-US"/>
        </w:rPr>
      </w:pPr>
    </w:p>
    <w:p w14:paraId="1B500608" w14:textId="77777777" w:rsidR="006A58CE" w:rsidRDefault="006A58CE" w:rsidP="006A58CE">
      <w:pPr>
        <w:rPr>
          <w:rFonts w:ascii="Cambria-Bold" w:hAnsi="Cambria-Bold" w:cs="Cambria-Bold"/>
          <w:b/>
          <w:bCs/>
          <w:color w:val="336868"/>
          <w:sz w:val="16"/>
          <w:szCs w:val="16"/>
          <w:lang w:val="en-US"/>
        </w:rPr>
      </w:pPr>
    </w:p>
    <w:p w14:paraId="680425B0" w14:textId="77777777" w:rsidR="006A58CE" w:rsidRDefault="006A58CE" w:rsidP="006A58CE">
      <w:pPr>
        <w:spacing w:before="160"/>
        <w:rPr>
          <w:rFonts w:ascii="Cambria-Bold" w:hAnsi="Cambria-Bold" w:cs="Cambria-Bold"/>
          <w:b/>
          <w:bCs/>
          <w:color w:val="336868"/>
          <w:sz w:val="28"/>
          <w:szCs w:val="28"/>
          <w:lang w:val="en-US"/>
        </w:rPr>
      </w:pPr>
    </w:p>
    <w:p w14:paraId="0226C767" w14:textId="77777777" w:rsidR="006A58CE" w:rsidRDefault="006A58CE" w:rsidP="006A58CE">
      <w:pPr>
        <w:spacing w:before="160"/>
        <w:jc w:val="center"/>
        <w:rPr>
          <w:rFonts w:ascii="Cambria-Bold" w:hAnsi="Cambria-Bold" w:cs="Cambria-Bold"/>
          <w:b/>
          <w:bCs/>
          <w:color w:val="336868"/>
          <w:sz w:val="72"/>
          <w:szCs w:val="72"/>
          <w:lang w:val="en-US"/>
        </w:rPr>
      </w:pPr>
      <w:r>
        <w:rPr>
          <w:rFonts w:ascii="Cambria-Bold" w:hAnsi="Cambria-Bold" w:cs="Cambria-Bold"/>
          <w:b/>
          <w:bCs/>
          <w:color w:val="336868"/>
          <w:sz w:val="72"/>
          <w:szCs w:val="72"/>
          <w:lang w:val="en-US"/>
        </w:rPr>
        <w:t>G20 National Remittance Plan 2019</w:t>
      </w:r>
    </w:p>
    <w:p w14:paraId="24BC7490" w14:textId="493A59FD" w:rsidR="006A58CE" w:rsidRDefault="00EF1F93" w:rsidP="006A58CE">
      <w:pPr>
        <w:spacing w:before="160"/>
        <w:jc w:val="center"/>
        <w:rPr>
          <w:rFonts w:ascii="Cambria-Bold" w:hAnsi="Cambria-Bold" w:cs="Cambria-Bold"/>
          <w:b/>
          <w:bCs/>
          <w:color w:val="336868"/>
          <w:sz w:val="72"/>
          <w:szCs w:val="72"/>
          <w:lang w:val="en-US"/>
        </w:rPr>
      </w:pPr>
      <w:r>
        <w:rPr>
          <w:rFonts w:ascii="Cambria-Bold" w:hAnsi="Cambria-Bold" w:cs="Cambria-Bold"/>
          <w:b/>
          <w:bCs/>
          <w:color w:val="336868"/>
          <w:sz w:val="72"/>
          <w:szCs w:val="72"/>
          <w:lang w:val="en-US"/>
        </w:rPr>
        <w:t xml:space="preserve">Switzerland </w:t>
      </w:r>
    </w:p>
    <w:tbl>
      <w:tblPr>
        <w:tblStyle w:val="TableGrid"/>
        <w:tblpPr w:leftFromText="142" w:rightFromText="142" w:vertAnchor="text" w:horzAnchor="margin" w:tblpY="188"/>
        <w:tblW w:w="8505" w:type="dxa"/>
        <w:tblInd w:w="0" w:type="dxa"/>
        <w:tblBorders>
          <w:top w:val="single" w:sz="24" w:space="0" w:color="AEBEB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6A58CE" w14:paraId="183ECDF3" w14:textId="77777777" w:rsidTr="006A58CE">
        <w:trPr>
          <w:trHeight w:val="988"/>
        </w:trPr>
        <w:tc>
          <w:tcPr>
            <w:tcW w:w="8505" w:type="dxa"/>
            <w:tcBorders>
              <w:top w:val="single" w:sz="24" w:space="0" w:color="AEBEBE"/>
              <w:left w:val="nil"/>
              <w:bottom w:val="nil"/>
              <w:right w:val="nil"/>
            </w:tcBorders>
          </w:tcPr>
          <w:p w14:paraId="6CD0905A" w14:textId="77777777" w:rsidR="006A58CE" w:rsidRDefault="006A58CE">
            <w:pPr>
              <w:rPr>
                <w:rFonts w:ascii="Cambria-Bold" w:hAnsi="Cambria-Bold" w:cs="Cambria-Bold"/>
                <w:b/>
                <w:bCs/>
                <w:color w:val="336868"/>
                <w:sz w:val="72"/>
                <w:szCs w:val="72"/>
                <w:lang w:val="en-US"/>
              </w:rPr>
            </w:pPr>
          </w:p>
        </w:tc>
      </w:tr>
    </w:tbl>
    <w:p w14:paraId="3C6FA37E" w14:textId="77777777" w:rsidR="006A58CE" w:rsidRDefault="006A58CE" w:rsidP="006A58CE">
      <w:pPr>
        <w:jc w:val="center"/>
        <w:rPr>
          <w:sz w:val="40"/>
          <w:lang w:val="tr-TR"/>
        </w:rPr>
      </w:pPr>
    </w:p>
    <w:p w14:paraId="21DFE5CD" w14:textId="77777777" w:rsidR="006A58CE" w:rsidRDefault="006A58CE" w:rsidP="006A58CE">
      <w:pPr>
        <w:rPr>
          <w:rFonts w:cs="Cambria-Bold"/>
          <w:b/>
          <w:bCs/>
          <w:color w:val="336868"/>
          <w:sz w:val="80"/>
          <w:szCs w:val="80"/>
          <w:lang w:val="en-US"/>
        </w:rPr>
      </w:pPr>
    </w:p>
    <w:p w14:paraId="257FB8D3" w14:textId="77777777" w:rsidR="006A58CE" w:rsidRDefault="006A58CE" w:rsidP="006A58CE">
      <w:pPr>
        <w:rPr>
          <w:b/>
          <w:sz w:val="28"/>
          <w:szCs w:val="28"/>
        </w:rPr>
      </w:pPr>
      <w:r w:rsidRPr="00010CD9">
        <w:rPr>
          <w:b/>
          <w:sz w:val="28"/>
          <w:szCs w:val="28"/>
        </w:rPr>
        <w:t xml:space="preserve"> </w:t>
      </w:r>
    </w:p>
    <w:p w14:paraId="2FE237D7" w14:textId="77777777" w:rsidR="00542BE7" w:rsidRDefault="006A58CE">
      <w:pPr>
        <w:rPr>
          <w:b/>
          <w:sz w:val="28"/>
          <w:szCs w:val="28"/>
        </w:rPr>
        <w:sectPr w:rsidR="00542BE7">
          <w:footerReference w:type="default" r:id="rId9"/>
          <w:pgSz w:w="11906" w:h="16838"/>
          <w:pgMar w:top="1440" w:right="1440" w:bottom="1440" w:left="1440" w:header="708" w:footer="708" w:gutter="0"/>
          <w:cols w:space="708"/>
          <w:docGrid w:linePitch="360"/>
        </w:sectPr>
      </w:pPr>
      <w:r>
        <w:rPr>
          <w:b/>
          <w:sz w:val="28"/>
          <w:szCs w:val="28"/>
        </w:rPr>
        <w:br w:type="page"/>
      </w:r>
    </w:p>
    <w:p w14:paraId="14850DFF" w14:textId="4854E354" w:rsidR="00010CD9" w:rsidRDefault="00010CD9" w:rsidP="006A58CE">
      <w:pPr>
        <w:rPr>
          <w:b/>
          <w:sz w:val="28"/>
          <w:szCs w:val="28"/>
        </w:rPr>
      </w:pPr>
      <w:r w:rsidRPr="00010CD9">
        <w:rPr>
          <w:b/>
          <w:sz w:val="28"/>
          <w:szCs w:val="28"/>
        </w:rPr>
        <w:lastRenderedPageBreak/>
        <w:t>Background</w:t>
      </w:r>
      <w:r w:rsidRPr="00010CD9">
        <w:rPr>
          <w:b/>
          <w:sz w:val="28"/>
          <w:szCs w:val="28"/>
        </w:rPr>
        <w:tab/>
      </w:r>
    </w:p>
    <w:p w14:paraId="7D702692" w14:textId="77777777" w:rsidR="00EF1F93" w:rsidRDefault="00EF1F93" w:rsidP="00EF1F93">
      <w:pPr>
        <w:autoSpaceDE w:val="0"/>
        <w:autoSpaceDN w:val="0"/>
        <w:adjustRightInd w:val="0"/>
        <w:spacing w:after="0" w:line="240" w:lineRule="auto"/>
        <w:jc w:val="both"/>
        <w:rPr>
          <w:rFonts w:cs="Calibri"/>
          <w:sz w:val="24"/>
          <w:szCs w:val="24"/>
          <w:lang w:val="en-US"/>
        </w:rPr>
      </w:pPr>
      <w:r>
        <w:rPr>
          <w:rFonts w:cs="Calibri"/>
          <w:sz w:val="24"/>
          <w:szCs w:val="24"/>
          <w:lang w:val="en-US"/>
        </w:rPr>
        <w:t xml:space="preserve">Switzerland is currently working on a number of legislative changes and guidelines with a view to provide a more tailored and optimized regulatory environment for the Swiss FinTech industry and the Blockchain </w:t>
      </w:r>
      <w:proofErr w:type="spellStart"/>
      <w:r>
        <w:rPr>
          <w:rFonts w:cs="Calibri"/>
          <w:sz w:val="24"/>
          <w:szCs w:val="24"/>
          <w:lang w:val="en-US"/>
        </w:rPr>
        <w:t>tehncology</w:t>
      </w:r>
      <w:proofErr w:type="spellEnd"/>
      <w:r>
        <w:rPr>
          <w:rFonts w:cs="Calibri"/>
          <w:sz w:val="24"/>
          <w:szCs w:val="24"/>
          <w:lang w:val="en-US"/>
        </w:rPr>
        <w:t xml:space="preserve">. In this context, Switzerland is seeking innovative solutions that support the development of the FinTech industry, and by </w:t>
      </w:r>
      <w:proofErr w:type="spellStart"/>
      <w:r>
        <w:rPr>
          <w:rFonts w:cs="Calibri"/>
          <w:sz w:val="24"/>
          <w:szCs w:val="24"/>
          <w:lang w:val="en-US"/>
        </w:rPr>
        <w:t>extensionalso</w:t>
      </w:r>
      <w:proofErr w:type="spellEnd"/>
      <w:r>
        <w:rPr>
          <w:rFonts w:cs="Calibri"/>
          <w:sz w:val="24"/>
          <w:szCs w:val="24"/>
          <w:lang w:val="en-US"/>
        </w:rPr>
        <w:t xml:space="preserve"> digital-based solutions for payments / remittances.</w:t>
      </w:r>
      <w:r w:rsidRPr="001C247A">
        <w:rPr>
          <w:rFonts w:cs="Cambria-Bold"/>
          <w:bCs/>
          <w:sz w:val="24"/>
          <w:szCs w:val="80"/>
        </w:rPr>
        <w:t xml:space="preserve"> </w:t>
      </w:r>
      <w:r>
        <w:rPr>
          <w:rFonts w:cs="Cambria-Bold"/>
          <w:bCs/>
          <w:sz w:val="24"/>
          <w:szCs w:val="80"/>
        </w:rPr>
        <w:t>The S</w:t>
      </w:r>
      <w:r w:rsidRPr="00553E2B">
        <w:rPr>
          <w:rFonts w:cs="Cambria-Bold"/>
          <w:bCs/>
          <w:sz w:val="24"/>
          <w:szCs w:val="80"/>
        </w:rPr>
        <w:t xml:space="preserve">wiss financial ecosystem </w:t>
      </w:r>
      <w:r>
        <w:rPr>
          <w:rFonts w:cs="Cambria-Bold"/>
          <w:bCs/>
          <w:sz w:val="24"/>
          <w:szCs w:val="80"/>
        </w:rPr>
        <w:t xml:space="preserve">is currently </w:t>
      </w:r>
      <w:r w:rsidRPr="00553E2B">
        <w:rPr>
          <w:rFonts w:cs="Cambria-Bold"/>
          <w:bCs/>
          <w:sz w:val="24"/>
          <w:szCs w:val="80"/>
        </w:rPr>
        <w:t xml:space="preserve">home of many </w:t>
      </w:r>
      <w:r>
        <w:rPr>
          <w:rFonts w:cs="Cambria-Bold"/>
          <w:bCs/>
          <w:sz w:val="24"/>
          <w:szCs w:val="80"/>
        </w:rPr>
        <w:t>372 Fintech</w:t>
      </w:r>
      <w:r w:rsidRPr="00553E2B">
        <w:rPr>
          <w:rFonts w:cs="Cambria-Bold"/>
          <w:bCs/>
          <w:sz w:val="24"/>
          <w:szCs w:val="80"/>
        </w:rPr>
        <w:t>, of which 1/3 are DLT/Blockchain start-ups</w:t>
      </w:r>
      <w:r>
        <w:rPr>
          <w:rFonts w:cs="Cambria-Bold"/>
          <w:bCs/>
          <w:sz w:val="24"/>
          <w:szCs w:val="80"/>
        </w:rPr>
        <w:t>.</w:t>
      </w:r>
      <w:r w:rsidRPr="00553E2B">
        <w:rPr>
          <w:rFonts w:cs="Cambria-Bold"/>
          <w:bCs/>
          <w:sz w:val="24"/>
          <w:szCs w:val="80"/>
        </w:rPr>
        <w:t xml:space="preserve"> </w:t>
      </w:r>
    </w:p>
    <w:p w14:paraId="5284AEDE" w14:textId="77777777" w:rsidR="00EF1F93" w:rsidRDefault="00EF1F93" w:rsidP="00EF1F93">
      <w:pPr>
        <w:autoSpaceDE w:val="0"/>
        <w:autoSpaceDN w:val="0"/>
        <w:adjustRightInd w:val="0"/>
        <w:spacing w:after="0" w:line="240" w:lineRule="auto"/>
        <w:jc w:val="both"/>
        <w:rPr>
          <w:rFonts w:cs="Calibri"/>
          <w:sz w:val="24"/>
          <w:szCs w:val="24"/>
          <w:lang w:val="en-US"/>
        </w:rPr>
      </w:pPr>
    </w:p>
    <w:p w14:paraId="47354FFE" w14:textId="77777777" w:rsidR="00EF1F93" w:rsidRDefault="00EF1F93" w:rsidP="00EF1F93">
      <w:pPr>
        <w:autoSpaceDE w:val="0"/>
        <w:autoSpaceDN w:val="0"/>
        <w:adjustRightInd w:val="0"/>
        <w:spacing w:after="0" w:line="240" w:lineRule="auto"/>
        <w:jc w:val="both"/>
        <w:rPr>
          <w:rFonts w:cs="Calibri"/>
          <w:sz w:val="24"/>
          <w:szCs w:val="24"/>
          <w:lang w:val="en-US"/>
        </w:rPr>
      </w:pPr>
      <w:r>
        <w:rPr>
          <w:rFonts w:cs="Calibri"/>
          <w:sz w:val="24"/>
          <w:szCs w:val="24"/>
          <w:lang w:val="en-US"/>
        </w:rPr>
        <w:t xml:space="preserve">In Switzerland, access to banking services – including retail payment systems – </w:t>
      </w:r>
      <w:proofErr w:type="gramStart"/>
      <w:r>
        <w:rPr>
          <w:rFonts w:cs="Calibri"/>
          <w:sz w:val="24"/>
          <w:szCs w:val="24"/>
          <w:lang w:val="en-US"/>
        </w:rPr>
        <w:t>is not generally perceived</w:t>
      </w:r>
      <w:proofErr w:type="gramEnd"/>
      <w:r>
        <w:rPr>
          <w:rFonts w:cs="Calibri"/>
          <w:sz w:val="24"/>
          <w:szCs w:val="24"/>
          <w:lang w:val="en-US"/>
        </w:rPr>
        <w:t xml:space="preserve"> as an issue. The same holds generally for access to remittances services. </w:t>
      </w:r>
      <w:proofErr w:type="gramStart"/>
      <w:r>
        <w:rPr>
          <w:rFonts w:cs="Calibri"/>
          <w:sz w:val="24"/>
          <w:szCs w:val="24"/>
          <w:lang w:val="en-US"/>
        </w:rPr>
        <w:t>Also</w:t>
      </w:r>
      <w:proofErr w:type="gramEnd"/>
      <w:r>
        <w:rPr>
          <w:rFonts w:cs="Calibri"/>
          <w:sz w:val="24"/>
          <w:szCs w:val="24"/>
          <w:lang w:val="en-US"/>
        </w:rPr>
        <w:t>, the Swiss financial sector is part of the Single Euro Payments Area (SEPA) framework, which facilitates cross-border payments (incl. remittances) in EUR towards European countries. In addition, a number of new m</w:t>
      </w:r>
      <w:r w:rsidRPr="0069531F">
        <w:rPr>
          <w:rFonts w:cs="Calibri"/>
          <w:sz w:val="24"/>
          <w:szCs w:val="24"/>
          <w:lang w:val="en-US"/>
        </w:rPr>
        <w:t xml:space="preserve">obile money and other technology-enabled solutions </w:t>
      </w:r>
      <w:r>
        <w:rPr>
          <w:rFonts w:cs="Calibri"/>
          <w:sz w:val="24"/>
          <w:szCs w:val="24"/>
          <w:lang w:val="en-US"/>
        </w:rPr>
        <w:t>are</w:t>
      </w:r>
      <w:r w:rsidRPr="0069531F">
        <w:rPr>
          <w:rFonts w:cs="Calibri"/>
          <w:sz w:val="24"/>
          <w:szCs w:val="24"/>
          <w:lang w:val="en-US"/>
        </w:rPr>
        <w:t xml:space="preserve"> </w:t>
      </w:r>
      <w:r>
        <w:rPr>
          <w:rFonts w:cs="Calibri"/>
          <w:sz w:val="24"/>
          <w:szCs w:val="24"/>
          <w:lang w:val="en-US"/>
        </w:rPr>
        <w:t xml:space="preserve">currently </w:t>
      </w:r>
      <w:r w:rsidRPr="0069531F">
        <w:rPr>
          <w:rFonts w:cs="Calibri"/>
          <w:sz w:val="24"/>
          <w:szCs w:val="24"/>
          <w:lang w:val="en-US"/>
        </w:rPr>
        <w:t>emerging in the Swiss financial sector.</w:t>
      </w:r>
      <w:r>
        <w:rPr>
          <w:rFonts w:cs="Calibri"/>
          <w:sz w:val="24"/>
          <w:szCs w:val="24"/>
          <w:lang w:val="en-US"/>
        </w:rPr>
        <w:t xml:space="preserve"> This includes solutions focusing on payments that </w:t>
      </w:r>
      <w:proofErr w:type="gramStart"/>
      <w:r>
        <w:rPr>
          <w:rFonts w:cs="Calibri"/>
          <w:sz w:val="24"/>
          <w:szCs w:val="24"/>
          <w:lang w:val="en-US"/>
        </w:rPr>
        <w:t>are also leveraged</w:t>
      </w:r>
      <w:proofErr w:type="gramEnd"/>
      <w:r>
        <w:rPr>
          <w:rFonts w:cs="Calibri"/>
          <w:sz w:val="24"/>
          <w:szCs w:val="24"/>
          <w:lang w:val="en-US"/>
        </w:rPr>
        <w:t xml:space="preserve"> for remittances transfers. </w:t>
      </w:r>
    </w:p>
    <w:p w14:paraId="7BA1E8DA" w14:textId="28DECB23" w:rsidR="0065328D" w:rsidRPr="0065328D" w:rsidRDefault="0065328D" w:rsidP="0065328D"/>
    <w:p w14:paraId="7248B35A" w14:textId="77777777" w:rsidR="00EF1F93" w:rsidRDefault="00EF1F93" w:rsidP="009A20D5">
      <w:pPr>
        <w:rPr>
          <w:b/>
          <w:sz w:val="28"/>
          <w:szCs w:val="28"/>
        </w:rPr>
      </w:pPr>
      <w:r>
        <w:rPr>
          <w:b/>
          <w:sz w:val="28"/>
          <w:szCs w:val="28"/>
        </w:rPr>
        <w:t xml:space="preserve">Call to action on remittances </w:t>
      </w:r>
    </w:p>
    <w:p w14:paraId="18F12F19" w14:textId="77777777" w:rsidR="00EF1F93" w:rsidRDefault="00EF1F93" w:rsidP="00EF1F93">
      <w:pPr>
        <w:autoSpaceDE w:val="0"/>
        <w:autoSpaceDN w:val="0"/>
        <w:adjustRightInd w:val="0"/>
        <w:spacing w:after="0" w:line="240" w:lineRule="auto"/>
        <w:jc w:val="both"/>
        <w:rPr>
          <w:rFonts w:cs="Cambria-Bold"/>
          <w:bCs/>
          <w:sz w:val="24"/>
          <w:szCs w:val="80"/>
        </w:rPr>
      </w:pPr>
      <w:r w:rsidRPr="00553E2B">
        <w:rPr>
          <w:rFonts w:cs="Cambria-Bold"/>
          <w:bCs/>
          <w:sz w:val="24"/>
          <w:szCs w:val="80"/>
        </w:rPr>
        <w:t xml:space="preserve">Switzerland is </w:t>
      </w:r>
      <w:proofErr w:type="spellStart"/>
      <w:r w:rsidRPr="00553E2B">
        <w:rPr>
          <w:rFonts w:cs="Cambria-Bold"/>
          <w:bCs/>
          <w:sz w:val="24"/>
          <w:szCs w:val="80"/>
        </w:rPr>
        <w:t>commited</w:t>
      </w:r>
      <w:proofErr w:type="spellEnd"/>
      <w:r w:rsidRPr="00553E2B">
        <w:rPr>
          <w:rFonts w:cs="Cambria-Bold"/>
          <w:bCs/>
          <w:sz w:val="24"/>
          <w:szCs w:val="80"/>
        </w:rPr>
        <w:t xml:space="preserve"> to improving the country's position as an attractive location for digital innovations, while maintaining the integrity of the financial centre and ensuring technology-neutral regulation. Due to the rapidly progressing digitization in the financial sector, the Swiss authorities will continue to follow these developments closely in the future.</w:t>
      </w:r>
    </w:p>
    <w:p w14:paraId="77A89C1C" w14:textId="77777777" w:rsidR="00EF1F93" w:rsidRDefault="00EF1F93" w:rsidP="00EF1F93">
      <w:pPr>
        <w:autoSpaceDE w:val="0"/>
        <w:autoSpaceDN w:val="0"/>
        <w:adjustRightInd w:val="0"/>
        <w:spacing w:after="0" w:line="240" w:lineRule="auto"/>
        <w:jc w:val="both"/>
        <w:rPr>
          <w:rFonts w:cs="Cambria-Bold"/>
          <w:bCs/>
          <w:sz w:val="24"/>
          <w:szCs w:val="80"/>
        </w:rPr>
      </w:pPr>
    </w:p>
    <w:p w14:paraId="1A79C9B2" w14:textId="77777777" w:rsidR="00EF1F93" w:rsidRDefault="00EF1F93" w:rsidP="00EF1F93">
      <w:pPr>
        <w:autoSpaceDE w:val="0"/>
        <w:autoSpaceDN w:val="0"/>
        <w:adjustRightInd w:val="0"/>
        <w:spacing w:after="0" w:line="240" w:lineRule="auto"/>
        <w:jc w:val="both"/>
        <w:rPr>
          <w:rFonts w:cs="Cambria-Bold"/>
          <w:bCs/>
          <w:sz w:val="24"/>
          <w:szCs w:val="80"/>
        </w:rPr>
      </w:pPr>
      <w:r>
        <w:rPr>
          <w:rFonts w:cs="Cambria-Bold"/>
          <w:bCs/>
          <w:sz w:val="24"/>
          <w:szCs w:val="80"/>
        </w:rPr>
        <w:t xml:space="preserve">Switzerland </w:t>
      </w:r>
      <w:r w:rsidRPr="00336463">
        <w:rPr>
          <w:rFonts w:cs="Cambria-Bold"/>
          <w:bCs/>
          <w:sz w:val="24"/>
          <w:szCs w:val="80"/>
        </w:rPr>
        <w:t>advocates a comprehensive approach to migrants’ remittances, which can offer inroads for promoting financial inclusion in recipient countries</w:t>
      </w:r>
      <w:r>
        <w:rPr>
          <w:rFonts w:cs="Cambria-Bold"/>
          <w:bCs/>
          <w:sz w:val="24"/>
          <w:szCs w:val="80"/>
        </w:rPr>
        <w:t xml:space="preserve">, while ensuring full compliance with applicable </w:t>
      </w:r>
      <w:r w:rsidRPr="0069531F">
        <w:rPr>
          <w:rFonts w:cs="Cambria-Bold"/>
          <w:bCs/>
          <w:sz w:val="24"/>
          <w:szCs w:val="80"/>
        </w:rPr>
        <w:t xml:space="preserve">AML/CFT </w:t>
      </w:r>
      <w:r>
        <w:rPr>
          <w:rFonts w:cs="Cambria-Bold"/>
          <w:bCs/>
          <w:sz w:val="24"/>
          <w:szCs w:val="80"/>
        </w:rPr>
        <w:t>regulation</w:t>
      </w:r>
      <w:r w:rsidRPr="00B92D14">
        <w:rPr>
          <w:rFonts w:cs="Cambria-Bold"/>
          <w:bCs/>
          <w:sz w:val="24"/>
          <w:szCs w:val="80"/>
        </w:rPr>
        <w:t xml:space="preserve">. </w:t>
      </w:r>
      <w:proofErr w:type="spellStart"/>
      <w:r>
        <w:rPr>
          <w:rFonts w:cs="Cambria-Bold"/>
          <w:bCs/>
          <w:sz w:val="24"/>
          <w:szCs w:val="80"/>
        </w:rPr>
        <w:t>F</w:t>
      </w:r>
      <w:r w:rsidRPr="00336463">
        <w:rPr>
          <w:rFonts w:cs="Cambria-Bold"/>
          <w:bCs/>
          <w:sz w:val="24"/>
          <w:szCs w:val="80"/>
        </w:rPr>
        <w:t>avorable</w:t>
      </w:r>
      <w:proofErr w:type="spellEnd"/>
      <w:r w:rsidRPr="00336463">
        <w:rPr>
          <w:rFonts w:cs="Cambria-Bold"/>
          <w:bCs/>
          <w:sz w:val="24"/>
          <w:szCs w:val="80"/>
        </w:rPr>
        <w:t xml:space="preserve"> framework conditions need to </w:t>
      </w:r>
      <w:proofErr w:type="gramStart"/>
      <w:r w:rsidRPr="00336463">
        <w:rPr>
          <w:rFonts w:cs="Cambria-Bold"/>
          <w:bCs/>
          <w:sz w:val="24"/>
          <w:szCs w:val="80"/>
        </w:rPr>
        <w:t>be fostered</w:t>
      </w:r>
      <w:proofErr w:type="gramEnd"/>
      <w:r w:rsidRPr="00336463">
        <w:rPr>
          <w:rFonts w:cs="Cambria-Bold"/>
          <w:bCs/>
          <w:sz w:val="24"/>
          <w:szCs w:val="80"/>
        </w:rPr>
        <w:t xml:space="preserve"> for the efficient operation of remittances services providers and for innovation to happen in this </w:t>
      </w:r>
      <w:r>
        <w:rPr>
          <w:rFonts w:cs="Cambria-Bold"/>
          <w:bCs/>
          <w:sz w:val="24"/>
          <w:szCs w:val="80"/>
        </w:rPr>
        <w:t>area</w:t>
      </w:r>
      <w:r w:rsidRPr="00336463">
        <w:rPr>
          <w:rFonts w:cs="Cambria-Bold"/>
          <w:bCs/>
          <w:sz w:val="24"/>
          <w:szCs w:val="80"/>
        </w:rPr>
        <w:t xml:space="preserve">. </w:t>
      </w:r>
      <w:r w:rsidRPr="001374D3">
        <w:rPr>
          <w:rFonts w:cs="Cambria-Bold"/>
          <w:bCs/>
          <w:sz w:val="24"/>
          <w:szCs w:val="80"/>
        </w:rPr>
        <w:t xml:space="preserve">Switzerland also places great emphasis on the diagnostic side, supporting surveys in priority countries to better measure and profile levels of access to and use of financial services, in order to optimize the development impact of remittances in the country of destination. </w:t>
      </w:r>
    </w:p>
    <w:p w14:paraId="4D3B7E51" w14:textId="77777777" w:rsidR="00EF1F93" w:rsidRDefault="00EF1F93" w:rsidP="00EF1F93">
      <w:pPr>
        <w:autoSpaceDE w:val="0"/>
        <w:autoSpaceDN w:val="0"/>
        <w:adjustRightInd w:val="0"/>
        <w:spacing w:after="0" w:line="240" w:lineRule="auto"/>
        <w:jc w:val="both"/>
        <w:rPr>
          <w:rFonts w:cs="Cambria-Bold"/>
          <w:bCs/>
          <w:sz w:val="24"/>
          <w:szCs w:val="80"/>
        </w:rPr>
      </w:pPr>
    </w:p>
    <w:p w14:paraId="0FE9E144" w14:textId="3940A660" w:rsidR="00EF1F93" w:rsidRDefault="00EF1F93" w:rsidP="00EF1F93">
      <w:pPr>
        <w:autoSpaceDE w:val="0"/>
        <w:autoSpaceDN w:val="0"/>
        <w:adjustRightInd w:val="0"/>
        <w:spacing w:after="0" w:line="240" w:lineRule="auto"/>
        <w:jc w:val="both"/>
        <w:rPr>
          <w:rFonts w:cs="Cambria-Bold"/>
          <w:bCs/>
          <w:sz w:val="24"/>
          <w:szCs w:val="80"/>
        </w:rPr>
      </w:pPr>
      <w:r>
        <w:rPr>
          <w:rFonts w:cs="Cambria-Bold"/>
          <w:bCs/>
          <w:sz w:val="24"/>
          <w:szCs w:val="80"/>
        </w:rPr>
        <w:t xml:space="preserve">Lastly, </w:t>
      </w:r>
      <w:r w:rsidRPr="001374D3">
        <w:rPr>
          <w:rFonts w:cs="Cambria-Bold"/>
          <w:bCs/>
          <w:sz w:val="24"/>
          <w:szCs w:val="80"/>
        </w:rPr>
        <w:t xml:space="preserve">Switzerland </w:t>
      </w:r>
      <w:r>
        <w:rPr>
          <w:rFonts w:cs="Cambria-Bold"/>
          <w:bCs/>
          <w:sz w:val="24"/>
          <w:szCs w:val="80"/>
        </w:rPr>
        <w:t>is actively involved in the DLT technology</w:t>
      </w:r>
      <w:r w:rsidRPr="00B56009">
        <w:rPr>
          <w:rFonts w:cs="Cambria-Bold"/>
          <w:bCs/>
          <w:sz w:val="24"/>
          <w:szCs w:val="80"/>
        </w:rPr>
        <w:t>. Due to the rapidly progressing digitization in the financial sector, the Swiss authorities will</w:t>
      </w:r>
      <w:r w:rsidRPr="001374D3">
        <w:rPr>
          <w:rFonts w:cs="Cambria-Bold"/>
          <w:bCs/>
          <w:sz w:val="24"/>
          <w:szCs w:val="80"/>
        </w:rPr>
        <w:t xml:space="preserve"> fol</w:t>
      </w:r>
      <w:r>
        <w:rPr>
          <w:rFonts w:cs="Cambria-Bold"/>
          <w:bCs/>
          <w:sz w:val="24"/>
          <w:szCs w:val="80"/>
        </w:rPr>
        <w:t xml:space="preserve">low these developments closely </w:t>
      </w:r>
      <w:r w:rsidRPr="001374D3">
        <w:rPr>
          <w:rFonts w:cs="Cambria-Bold"/>
          <w:bCs/>
          <w:sz w:val="24"/>
          <w:szCs w:val="80"/>
        </w:rPr>
        <w:t>in the future.</w:t>
      </w:r>
      <w:r w:rsidRPr="00CB29EE">
        <w:t xml:space="preserve"> </w:t>
      </w:r>
      <w:r>
        <w:rPr>
          <w:rFonts w:cs="Cambria-Bold"/>
          <w:bCs/>
          <w:sz w:val="24"/>
          <w:szCs w:val="80"/>
        </w:rPr>
        <w:t xml:space="preserve"> </w:t>
      </w:r>
      <w:proofErr w:type="spellStart"/>
      <w:r>
        <w:rPr>
          <w:rFonts w:cs="Cambria-Bold"/>
          <w:bCs/>
          <w:sz w:val="24"/>
          <w:szCs w:val="80"/>
        </w:rPr>
        <w:t>Swiltzerlands</w:t>
      </w:r>
      <w:proofErr w:type="spellEnd"/>
      <w:r w:rsidRPr="00CB29EE">
        <w:rPr>
          <w:rFonts w:cs="Cambria-Bold"/>
          <w:bCs/>
          <w:sz w:val="24"/>
          <w:szCs w:val="80"/>
        </w:rPr>
        <w:t xml:space="preserve"> want to foster the potential of the blockchain technology</w:t>
      </w:r>
      <w:r>
        <w:rPr>
          <w:rFonts w:cs="Cambria-Bold"/>
          <w:bCs/>
          <w:sz w:val="24"/>
          <w:szCs w:val="80"/>
        </w:rPr>
        <w:t>, while, a</w:t>
      </w:r>
      <w:r w:rsidRPr="00CB29EE">
        <w:rPr>
          <w:rFonts w:cs="Cambria-Bold"/>
          <w:bCs/>
          <w:sz w:val="24"/>
          <w:szCs w:val="80"/>
        </w:rPr>
        <w:t>t the same time, to guarantee the integrity and the good reputation of Switzerland as a business location.</w:t>
      </w:r>
    </w:p>
    <w:p w14:paraId="003B9595" w14:textId="77777777" w:rsidR="00EF1F93" w:rsidRPr="00EF1F93" w:rsidRDefault="00EF1F93" w:rsidP="00EF1F93">
      <w:pPr>
        <w:autoSpaceDE w:val="0"/>
        <w:autoSpaceDN w:val="0"/>
        <w:adjustRightInd w:val="0"/>
        <w:spacing w:after="0" w:line="240" w:lineRule="auto"/>
        <w:jc w:val="both"/>
        <w:rPr>
          <w:rFonts w:cs="Cambria-Bold"/>
          <w:bCs/>
          <w:sz w:val="24"/>
          <w:szCs w:val="80"/>
        </w:rPr>
      </w:pPr>
    </w:p>
    <w:p w14:paraId="7FAE9C01" w14:textId="77777777" w:rsidR="00EF1F93" w:rsidRDefault="00EF1F93" w:rsidP="009A20D5">
      <w:pPr>
        <w:rPr>
          <w:b/>
          <w:sz w:val="28"/>
          <w:szCs w:val="28"/>
        </w:rPr>
      </w:pPr>
    </w:p>
    <w:p w14:paraId="7289A51A" w14:textId="77777777" w:rsidR="00EF1F93" w:rsidRDefault="00EF1F93" w:rsidP="009A20D5">
      <w:pPr>
        <w:rPr>
          <w:b/>
          <w:sz w:val="28"/>
          <w:szCs w:val="28"/>
        </w:rPr>
      </w:pPr>
    </w:p>
    <w:p w14:paraId="24D5AA94" w14:textId="77777777" w:rsidR="00EF1F93" w:rsidRDefault="00EF1F93" w:rsidP="009A20D5">
      <w:pPr>
        <w:rPr>
          <w:b/>
          <w:sz w:val="28"/>
          <w:szCs w:val="28"/>
        </w:rPr>
      </w:pPr>
    </w:p>
    <w:p w14:paraId="4DA18BCA" w14:textId="77777777" w:rsidR="00EF1F93" w:rsidRDefault="00EF1F93" w:rsidP="009A20D5">
      <w:pPr>
        <w:rPr>
          <w:b/>
          <w:sz w:val="28"/>
          <w:szCs w:val="28"/>
        </w:rPr>
      </w:pPr>
    </w:p>
    <w:p w14:paraId="3FF00FCD" w14:textId="77777777" w:rsidR="00EF1F93" w:rsidRDefault="00EF1F93" w:rsidP="009A20D5">
      <w:pPr>
        <w:rPr>
          <w:b/>
          <w:sz w:val="28"/>
          <w:szCs w:val="28"/>
        </w:rPr>
      </w:pPr>
    </w:p>
    <w:p w14:paraId="6DB4602E" w14:textId="6A1B9A01" w:rsidR="00010CD9" w:rsidRPr="00010CD9" w:rsidRDefault="00010CD9" w:rsidP="009A20D5">
      <w:pPr>
        <w:rPr>
          <w:b/>
          <w:sz w:val="28"/>
          <w:szCs w:val="28"/>
        </w:rPr>
      </w:pPr>
      <w:bookmarkStart w:id="0" w:name="_GoBack"/>
      <w:bookmarkEnd w:id="0"/>
      <w:r w:rsidRPr="00010CD9">
        <w:rPr>
          <w:b/>
          <w:sz w:val="28"/>
          <w:szCs w:val="28"/>
        </w:rPr>
        <w:lastRenderedPageBreak/>
        <w:t>2019 Country plan for reducing remittance transfer costs</w:t>
      </w:r>
    </w:p>
    <w:p w14:paraId="3BDAA9CA" w14:textId="77777777" w:rsidR="00010CD9" w:rsidRPr="002730BE" w:rsidRDefault="00010CD9" w:rsidP="00010CD9">
      <w:pPr>
        <w:pStyle w:val="ListParagraph"/>
        <w:numPr>
          <w:ilvl w:val="0"/>
          <w:numId w:val="1"/>
        </w:numPr>
        <w:rPr>
          <w:b/>
          <w:sz w:val="24"/>
          <w:szCs w:val="24"/>
        </w:rPr>
      </w:pPr>
      <w:r w:rsidRPr="002730BE">
        <w:rPr>
          <w:b/>
          <w:sz w:val="24"/>
          <w:szCs w:val="24"/>
        </w:rPr>
        <w:t>Increase remittance market competitiveness, including through improvements to the regulatory environment</w:t>
      </w:r>
    </w:p>
    <w:p w14:paraId="40B57F6F" w14:textId="194D3BC7" w:rsidR="00EF1F93" w:rsidRDefault="00EF1F93" w:rsidP="00EF1F93">
      <w:pPr>
        <w:autoSpaceDE w:val="0"/>
        <w:autoSpaceDN w:val="0"/>
        <w:adjustRightInd w:val="0"/>
        <w:spacing w:after="0" w:line="240" w:lineRule="auto"/>
        <w:jc w:val="both"/>
        <w:rPr>
          <w:rFonts w:cs="Cambria-Bold"/>
          <w:bCs/>
          <w:sz w:val="24"/>
          <w:szCs w:val="80"/>
        </w:rPr>
      </w:pPr>
      <w:r w:rsidRPr="00EF1F93">
        <w:rPr>
          <w:rFonts w:cs="Cambria-Bold"/>
          <w:bCs/>
          <w:sz w:val="24"/>
          <w:szCs w:val="80"/>
        </w:rPr>
        <w:t>Switzerland will continue overhauling its financial market regulation on the federal level. After entry into force of the Financial Market Infrastructure Act in January 2016, Swiss Parliament is currently working on two further projects, incl. two core pieces of the Swiss financial market architecture, the Financial Services Act (</w:t>
      </w:r>
      <w:proofErr w:type="spellStart"/>
      <w:r w:rsidRPr="00EF1F93">
        <w:rPr>
          <w:rFonts w:cs="Cambria-Bold"/>
          <w:bCs/>
          <w:sz w:val="24"/>
          <w:szCs w:val="80"/>
        </w:rPr>
        <w:t>FinSA</w:t>
      </w:r>
      <w:proofErr w:type="spellEnd"/>
      <w:r w:rsidRPr="00EF1F93">
        <w:rPr>
          <w:rFonts w:cs="Cambria-Bold"/>
          <w:bCs/>
          <w:sz w:val="24"/>
          <w:szCs w:val="80"/>
        </w:rPr>
        <w:t>) and the Financial Institutions Act (</w:t>
      </w:r>
      <w:proofErr w:type="spellStart"/>
      <w:r w:rsidRPr="00EF1F93">
        <w:rPr>
          <w:rFonts w:cs="Cambria-Bold"/>
          <w:bCs/>
          <w:sz w:val="24"/>
          <w:szCs w:val="80"/>
        </w:rPr>
        <w:t>FinIA</w:t>
      </w:r>
      <w:proofErr w:type="spellEnd"/>
      <w:r w:rsidRPr="00EF1F93">
        <w:rPr>
          <w:rFonts w:cs="Cambria-Bold"/>
          <w:bCs/>
          <w:sz w:val="24"/>
          <w:szCs w:val="80"/>
        </w:rPr>
        <w:t xml:space="preserve">). Both laws </w:t>
      </w:r>
      <w:proofErr w:type="gramStart"/>
      <w:r w:rsidRPr="00EF1F93">
        <w:rPr>
          <w:rFonts w:cs="Cambria-Bold"/>
          <w:bCs/>
          <w:sz w:val="24"/>
          <w:szCs w:val="80"/>
        </w:rPr>
        <w:t>are currently discussed in the Swiss Parliament and expected to enter into force by 2020</w:t>
      </w:r>
      <w:proofErr w:type="gramEnd"/>
      <w:r w:rsidRPr="00EF1F93">
        <w:rPr>
          <w:rFonts w:cs="Cambria-Bold"/>
          <w:bCs/>
          <w:sz w:val="24"/>
          <w:szCs w:val="80"/>
        </w:rPr>
        <w:t xml:space="preserve">. Under the </w:t>
      </w:r>
      <w:proofErr w:type="spellStart"/>
      <w:r w:rsidRPr="00EF1F93">
        <w:rPr>
          <w:rFonts w:cs="Cambria-Bold"/>
          <w:bCs/>
          <w:sz w:val="24"/>
          <w:szCs w:val="80"/>
        </w:rPr>
        <w:t>FinIA</w:t>
      </w:r>
      <w:proofErr w:type="spellEnd"/>
      <w:r w:rsidRPr="00EF1F93">
        <w:rPr>
          <w:rFonts w:cs="Cambria-Bold"/>
          <w:bCs/>
          <w:sz w:val="24"/>
          <w:szCs w:val="80"/>
        </w:rPr>
        <w:t xml:space="preserve">, the requirements for financial institutions are aimed at creating a level </w:t>
      </w:r>
      <w:proofErr w:type="gramStart"/>
      <w:r w:rsidRPr="00EF1F93">
        <w:rPr>
          <w:rFonts w:cs="Cambria-Bold"/>
          <w:bCs/>
          <w:sz w:val="24"/>
          <w:szCs w:val="80"/>
        </w:rPr>
        <w:t>playing-field</w:t>
      </w:r>
      <w:proofErr w:type="gramEnd"/>
      <w:r w:rsidRPr="00EF1F93">
        <w:rPr>
          <w:rFonts w:cs="Cambria-Bold"/>
          <w:bCs/>
          <w:sz w:val="24"/>
          <w:szCs w:val="80"/>
        </w:rPr>
        <w:t xml:space="preserve"> for supervised persons and entities. The </w:t>
      </w:r>
      <w:proofErr w:type="spellStart"/>
      <w:r w:rsidRPr="00EF1F93">
        <w:rPr>
          <w:rFonts w:cs="Cambria-Bold"/>
          <w:bCs/>
          <w:sz w:val="24"/>
          <w:szCs w:val="80"/>
        </w:rPr>
        <w:t>FinSA</w:t>
      </w:r>
      <w:proofErr w:type="spellEnd"/>
      <w:r w:rsidRPr="00EF1F93">
        <w:rPr>
          <w:rFonts w:cs="Cambria-Bold"/>
          <w:bCs/>
          <w:sz w:val="24"/>
          <w:szCs w:val="80"/>
        </w:rPr>
        <w:t xml:space="preserve"> sets out cross-sector rules for offering financial services and distributing financial </w:t>
      </w:r>
      <w:proofErr w:type="gramStart"/>
      <w:r w:rsidRPr="00EF1F93">
        <w:rPr>
          <w:rFonts w:cs="Cambria-Bold"/>
          <w:bCs/>
          <w:sz w:val="24"/>
          <w:szCs w:val="80"/>
        </w:rPr>
        <w:t>instruments,</w:t>
      </w:r>
      <w:proofErr w:type="gramEnd"/>
      <w:r w:rsidRPr="00EF1F93">
        <w:rPr>
          <w:rFonts w:cs="Cambria-Bold"/>
          <w:bCs/>
          <w:sz w:val="24"/>
          <w:szCs w:val="80"/>
        </w:rPr>
        <w:t xml:space="preserve"> based on the EU directives (MiFID, Prospectus Directive, PRIPs project). Financial service providers </w:t>
      </w:r>
      <w:proofErr w:type="gramStart"/>
      <w:r w:rsidRPr="00EF1F93">
        <w:rPr>
          <w:rFonts w:cs="Cambria-Bold"/>
          <w:bCs/>
          <w:sz w:val="24"/>
          <w:szCs w:val="80"/>
        </w:rPr>
        <w:t>are notably required</w:t>
      </w:r>
      <w:proofErr w:type="gramEnd"/>
      <w:r w:rsidRPr="00EF1F93">
        <w:rPr>
          <w:rFonts w:cs="Cambria-Bold"/>
          <w:bCs/>
          <w:sz w:val="24"/>
          <w:szCs w:val="80"/>
        </w:rPr>
        <w:t xml:space="preserve"> by law to give clients appropriate explanations and advice (cf. 4a). </w:t>
      </w:r>
    </w:p>
    <w:p w14:paraId="42FB01F5" w14:textId="77777777" w:rsidR="00EF1F93" w:rsidRPr="00EF1F93" w:rsidRDefault="00EF1F93" w:rsidP="00EF1F93">
      <w:pPr>
        <w:autoSpaceDE w:val="0"/>
        <w:autoSpaceDN w:val="0"/>
        <w:adjustRightInd w:val="0"/>
        <w:spacing w:after="0" w:line="240" w:lineRule="auto"/>
        <w:jc w:val="both"/>
        <w:rPr>
          <w:rFonts w:cs="Cambria-Bold"/>
          <w:bCs/>
          <w:sz w:val="24"/>
          <w:szCs w:val="80"/>
        </w:rPr>
      </w:pPr>
    </w:p>
    <w:p w14:paraId="0944A2E2" w14:textId="77777777" w:rsidR="00010CD9" w:rsidRPr="00EF1F93" w:rsidRDefault="00010CD9" w:rsidP="00EF1F93">
      <w:pPr>
        <w:pStyle w:val="ListParagraph"/>
        <w:numPr>
          <w:ilvl w:val="0"/>
          <w:numId w:val="1"/>
        </w:numPr>
        <w:rPr>
          <w:b/>
          <w:sz w:val="24"/>
          <w:szCs w:val="24"/>
        </w:rPr>
      </w:pPr>
      <w:r w:rsidRPr="00EF1F93">
        <w:rPr>
          <w:b/>
          <w:sz w:val="24"/>
          <w:szCs w:val="24"/>
        </w:rPr>
        <w:t>Improve financial system infrastructure and pursue policies conducive to supporting innovation and harnessing emerging technologies.</w:t>
      </w:r>
    </w:p>
    <w:p w14:paraId="34E62927" w14:textId="00FE3F29" w:rsidR="00EF1F93" w:rsidRDefault="00EF1F93" w:rsidP="0065328D">
      <w:r w:rsidRPr="00553E2B">
        <w:rPr>
          <w:rFonts w:cs="Calibri"/>
          <w:sz w:val="24"/>
          <w:szCs w:val="24"/>
          <w:lang w:val="en-US"/>
        </w:rPr>
        <w:t xml:space="preserve">The Swiss authorities will continue to follow </w:t>
      </w:r>
      <w:r w:rsidRPr="00553E2B">
        <w:rPr>
          <w:rFonts w:cs="Calibri"/>
          <w:b/>
          <w:sz w:val="24"/>
          <w:szCs w:val="24"/>
          <w:lang w:val="en-US"/>
        </w:rPr>
        <w:t>the developments of the DLT technology</w:t>
      </w:r>
      <w:r w:rsidRPr="00553E2B">
        <w:rPr>
          <w:rFonts w:cs="Calibri"/>
          <w:sz w:val="24"/>
          <w:szCs w:val="24"/>
          <w:lang w:val="en-US"/>
        </w:rPr>
        <w:t xml:space="preserve"> very closely. The emergence of new payment service projects is a sign that the DLT technology is maturing. Such projects and the associated </w:t>
      </w:r>
      <w:proofErr w:type="spellStart"/>
      <w:r w:rsidRPr="00553E2B">
        <w:rPr>
          <w:rFonts w:cs="Calibri"/>
          <w:sz w:val="24"/>
          <w:szCs w:val="24"/>
          <w:lang w:val="en-US"/>
        </w:rPr>
        <w:t>stablecoins</w:t>
      </w:r>
      <w:proofErr w:type="spellEnd"/>
      <w:r w:rsidRPr="00553E2B">
        <w:rPr>
          <w:rFonts w:cs="Calibri"/>
          <w:sz w:val="24"/>
          <w:szCs w:val="24"/>
          <w:lang w:val="en-US"/>
        </w:rPr>
        <w:t xml:space="preserve"> may play a meaningful role in the DLT ecosystem, where there is a growing demand for less volatile means of payment. </w:t>
      </w:r>
      <w:r w:rsidRPr="00553E2B">
        <w:rPr>
          <w:sz w:val="24"/>
          <w:szCs w:val="24"/>
          <w:lang w:val="en-GB"/>
        </w:rPr>
        <w:t xml:space="preserve">Projects have the potential to provide for faster and cheaper payments and spur competition in payment services. This highlights the need to step up ongoing efforts to improve existing payment systems. </w:t>
      </w:r>
      <w:r w:rsidRPr="00553E2B">
        <w:rPr>
          <w:rFonts w:cs="Calibri"/>
          <w:sz w:val="24"/>
          <w:szCs w:val="24"/>
          <w:lang w:val="en-US"/>
        </w:rPr>
        <w:t xml:space="preserve">Switzerland remains impartial vis-à-vis new technologies and stay open to innovation.  </w:t>
      </w:r>
      <w:r>
        <w:rPr>
          <w:lang w:val="en-US"/>
        </w:rPr>
        <w:t>T</w:t>
      </w:r>
      <w:r w:rsidRPr="00EE5723">
        <w:rPr>
          <w:lang w:val="en-US"/>
        </w:rPr>
        <w:t xml:space="preserve">he </w:t>
      </w:r>
      <w:r w:rsidRPr="00553E2B">
        <w:rPr>
          <w:sz w:val="24"/>
          <w:szCs w:val="24"/>
          <w:lang w:val="en-GB"/>
        </w:rPr>
        <w:t xml:space="preserve">Swiss </w:t>
      </w:r>
      <w:r>
        <w:rPr>
          <w:sz w:val="24"/>
          <w:szCs w:val="24"/>
          <w:lang w:val="en-GB"/>
        </w:rPr>
        <w:t xml:space="preserve">authorities will ensure that the </w:t>
      </w:r>
      <w:r w:rsidRPr="00DD5599">
        <w:rPr>
          <w:b/>
          <w:sz w:val="24"/>
          <w:szCs w:val="24"/>
          <w:lang w:val="en-GB"/>
        </w:rPr>
        <w:t>regulatory framework</w:t>
      </w:r>
      <w:r w:rsidRPr="00553E2B">
        <w:rPr>
          <w:sz w:val="24"/>
          <w:szCs w:val="24"/>
          <w:lang w:val="en-US"/>
        </w:rPr>
        <w:t xml:space="preserve"> </w:t>
      </w:r>
      <w:r w:rsidRPr="00553E2B">
        <w:rPr>
          <w:b/>
          <w:sz w:val="24"/>
          <w:szCs w:val="24"/>
          <w:lang w:val="en-US"/>
        </w:rPr>
        <w:t>fully applies to virtual asset service providers (VASPs)</w:t>
      </w:r>
      <w:r w:rsidRPr="00553E2B">
        <w:rPr>
          <w:sz w:val="24"/>
          <w:szCs w:val="24"/>
          <w:lang w:val="en-US"/>
        </w:rPr>
        <w:t>.</w:t>
      </w:r>
      <w:r w:rsidRPr="00CB29EE">
        <w:rPr>
          <w:rFonts w:cs="Calibri"/>
          <w:sz w:val="24"/>
          <w:szCs w:val="24"/>
          <w:lang w:val="en-US"/>
        </w:rPr>
        <w:t xml:space="preserve"> </w:t>
      </w:r>
      <w:r w:rsidRPr="00553E2B">
        <w:rPr>
          <w:rFonts w:cs="Calibri"/>
          <w:sz w:val="24"/>
          <w:szCs w:val="24"/>
          <w:lang w:val="en-US"/>
        </w:rPr>
        <w:t>It is a priority to ensure the stability and the integrity of financial market.</w:t>
      </w:r>
    </w:p>
    <w:p w14:paraId="2BBCB9A3" w14:textId="27E60DCE" w:rsidR="00010CD9" w:rsidRPr="00010CD9" w:rsidRDefault="00010CD9" w:rsidP="0065328D">
      <w:pPr>
        <w:pStyle w:val="ListParagraph"/>
        <w:numPr>
          <w:ilvl w:val="0"/>
          <w:numId w:val="1"/>
        </w:numPr>
        <w:rPr>
          <w:b/>
          <w:sz w:val="24"/>
          <w:szCs w:val="24"/>
        </w:rPr>
      </w:pPr>
      <w:r w:rsidRPr="00010CD9">
        <w:rPr>
          <w:b/>
          <w:sz w:val="24"/>
          <w:szCs w:val="24"/>
        </w:rPr>
        <w:t>Improve transparency and consumer protection of remittance transfers.</w:t>
      </w:r>
    </w:p>
    <w:p w14:paraId="70F8A505" w14:textId="77777777" w:rsidR="00EF1F93" w:rsidRPr="00056A34" w:rsidRDefault="00EF1F93" w:rsidP="00EF1F93">
      <w:pPr>
        <w:spacing w:after="0" w:line="260" w:lineRule="atLeast"/>
        <w:jc w:val="both"/>
        <w:rPr>
          <w:rFonts w:cs="Calibri"/>
          <w:sz w:val="24"/>
          <w:szCs w:val="24"/>
          <w:lang w:val="en-US"/>
        </w:rPr>
      </w:pPr>
      <w:r w:rsidRPr="00101F40">
        <w:rPr>
          <w:rFonts w:cs="Calibri"/>
          <w:sz w:val="24"/>
          <w:szCs w:val="24"/>
          <w:lang w:val="en-US"/>
        </w:rPr>
        <w:t xml:space="preserve">Switzerland </w:t>
      </w:r>
      <w:r>
        <w:rPr>
          <w:rFonts w:cs="Calibri"/>
          <w:sz w:val="24"/>
          <w:szCs w:val="24"/>
          <w:lang w:val="en-US"/>
        </w:rPr>
        <w:t xml:space="preserve">will continue to </w:t>
      </w:r>
      <w:r w:rsidRPr="00101F40">
        <w:rPr>
          <w:rFonts w:cs="Calibri"/>
          <w:sz w:val="24"/>
          <w:szCs w:val="24"/>
          <w:lang w:val="en-US"/>
        </w:rPr>
        <w:t xml:space="preserve">contribute, financially </w:t>
      </w:r>
      <w:r>
        <w:rPr>
          <w:rFonts w:cs="Calibri"/>
          <w:sz w:val="24"/>
          <w:szCs w:val="24"/>
          <w:lang w:val="en-US"/>
        </w:rPr>
        <w:t xml:space="preserve">and through other means, to greater transparency measures </w:t>
      </w:r>
      <w:r w:rsidRPr="00101F40">
        <w:rPr>
          <w:rFonts w:cs="Calibri"/>
          <w:sz w:val="24"/>
          <w:szCs w:val="24"/>
          <w:lang w:val="en-US"/>
        </w:rPr>
        <w:t xml:space="preserve">that seek to improve the use and </w:t>
      </w:r>
      <w:r>
        <w:rPr>
          <w:rFonts w:cs="Calibri"/>
          <w:sz w:val="24"/>
          <w:szCs w:val="24"/>
          <w:lang w:val="en-US"/>
        </w:rPr>
        <w:t xml:space="preserve">understanding </w:t>
      </w:r>
      <w:r w:rsidRPr="00101F40">
        <w:rPr>
          <w:rFonts w:cs="Calibri"/>
          <w:sz w:val="24"/>
          <w:szCs w:val="24"/>
          <w:lang w:val="en-US"/>
        </w:rPr>
        <w:t>of remittances by migrants</w:t>
      </w:r>
      <w:r>
        <w:rPr>
          <w:rFonts w:cs="Calibri"/>
          <w:sz w:val="24"/>
          <w:szCs w:val="24"/>
          <w:lang w:val="en-US"/>
        </w:rPr>
        <w:t xml:space="preserve"> (cf. SECO information brochure). The objective is to </w:t>
      </w:r>
      <w:r w:rsidRPr="00101F40">
        <w:rPr>
          <w:rFonts w:cs="Calibri"/>
          <w:sz w:val="24"/>
          <w:szCs w:val="24"/>
          <w:lang w:val="en-US"/>
        </w:rPr>
        <w:t>optimiz</w:t>
      </w:r>
      <w:r>
        <w:rPr>
          <w:rFonts w:cs="Calibri"/>
          <w:sz w:val="24"/>
          <w:szCs w:val="24"/>
          <w:lang w:val="en-US"/>
        </w:rPr>
        <w:t>e</w:t>
      </w:r>
      <w:r w:rsidRPr="00101F40">
        <w:rPr>
          <w:rFonts w:cs="Calibri"/>
          <w:sz w:val="24"/>
          <w:szCs w:val="24"/>
          <w:lang w:val="en-US"/>
        </w:rPr>
        <w:t xml:space="preserve"> the development impact of remittances in the </w:t>
      </w:r>
      <w:r>
        <w:rPr>
          <w:rFonts w:cs="Calibri"/>
          <w:sz w:val="24"/>
          <w:szCs w:val="24"/>
          <w:lang w:val="en-US"/>
        </w:rPr>
        <w:t xml:space="preserve">respective </w:t>
      </w:r>
      <w:r w:rsidRPr="00101F40">
        <w:rPr>
          <w:rFonts w:cs="Calibri"/>
          <w:sz w:val="24"/>
          <w:szCs w:val="24"/>
          <w:lang w:val="en-US"/>
        </w:rPr>
        <w:t xml:space="preserve">country of destination. </w:t>
      </w:r>
      <w:r>
        <w:rPr>
          <w:rFonts w:cs="Calibri"/>
          <w:sz w:val="24"/>
          <w:szCs w:val="24"/>
          <w:lang w:val="en-US"/>
        </w:rPr>
        <w:t>For instance, t</w:t>
      </w:r>
      <w:r w:rsidRPr="00101F40">
        <w:rPr>
          <w:rFonts w:cs="Calibri"/>
          <w:sz w:val="24"/>
          <w:szCs w:val="24"/>
          <w:lang w:val="en-US"/>
        </w:rPr>
        <w:t xml:space="preserve">he </w:t>
      </w:r>
      <w:r>
        <w:rPr>
          <w:rFonts w:cs="Calibri"/>
          <w:sz w:val="24"/>
          <w:szCs w:val="24"/>
          <w:lang w:val="en-US"/>
        </w:rPr>
        <w:t>Swiss State Secretariat for Economic Affairs (</w:t>
      </w:r>
      <w:r w:rsidRPr="00101F40">
        <w:rPr>
          <w:rFonts w:cs="Calibri"/>
          <w:sz w:val="24"/>
          <w:szCs w:val="24"/>
          <w:lang w:val="en-US"/>
        </w:rPr>
        <w:t>SECO</w:t>
      </w:r>
      <w:r>
        <w:rPr>
          <w:rFonts w:cs="Calibri"/>
          <w:sz w:val="24"/>
          <w:szCs w:val="24"/>
          <w:lang w:val="en-US"/>
        </w:rPr>
        <w:t>)</w:t>
      </w:r>
      <w:r w:rsidRPr="00101F40">
        <w:rPr>
          <w:rFonts w:cs="Calibri"/>
          <w:sz w:val="24"/>
          <w:szCs w:val="24"/>
          <w:lang w:val="en-US"/>
        </w:rPr>
        <w:t xml:space="preserve"> </w:t>
      </w:r>
      <w:r>
        <w:rPr>
          <w:rFonts w:cs="Calibri"/>
          <w:sz w:val="24"/>
          <w:szCs w:val="24"/>
          <w:lang w:val="en-US"/>
        </w:rPr>
        <w:t xml:space="preserve">significantly </w:t>
      </w:r>
      <w:r w:rsidRPr="00101F40">
        <w:rPr>
          <w:rFonts w:cs="Calibri"/>
          <w:sz w:val="24"/>
          <w:szCs w:val="24"/>
          <w:lang w:val="en-US"/>
        </w:rPr>
        <w:t xml:space="preserve">contributes to the </w:t>
      </w:r>
      <w:r w:rsidRPr="00553E2B">
        <w:rPr>
          <w:rFonts w:cs="Calibri"/>
          <w:b/>
          <w:sz w:val="24"/>
          <w:szCs w:val="24"/>
          <w:lang w:val="en-US"/>
        </w:rPr>
        <w:t>World Bank Remittances and Payments Program in favor of seven eastern European countries</w:t>
      </w:r>
      <w:r w:rsidRPr="00101F40">
        <w:rPr>
          <w:rFonts w:cs="Calibri"/>
          <w:sz w:val="24"/>
          <w:szCs w:val="24"/>
          <w:lang w:val="en-US"/>
        </w:rPr>
        <w:t xml:space="preserve">. </w:t>
      </w:r>
      <w:r>
        <w:rPr>
          <w:rFonts w:cs="Calibri"/>
          <w:sz w:val="24"/>
          <w:szCs w:val="24"/>
          <w:lang w:val="en-US"/>
        </w:rPr>
        <w:t xml:space="preserve">This World Bank program seeks improvement of the legal and regulatory framework for remittances, as well as cost reductions and an increase in transparency for remittances. </w:t>
      </w:r>
      <w:r w:rsidRPr="00101F40">
        <w:rPr>
          <w:rFonts w:cs="Calibri"/>
          <w:sz w:val="24"/>
          <w:szCs w:val="24"/>
          <w:lang w:val="en-US"/>
        </w:rPr>
        <w:t xml:space="preserve">In addition, </w:t>
      </w:r>
      <w:r w:rsidRPr="00553E2B">
        <w:rPr>
          <w:rFonts w:cs="Calibri"/>
          <w:sz w:val="24"/>
          <w:szCs w:val="24"/>
          <w:lang w:val="en-US"/>
        </w:rPr>
        <w:t xml:space="preserve">SECO also contributes to </w:t>
      </w:r>
      <w:r w:rsidRPr="00553E2B">
        <w:rPr>
          <w:rFonts w:cs="Calibri"/>
          <w:b/>
          <w:sz w:val="24"/>
          <w:szCs w:val="24"/>
          <w:lang w:val="en-US"/>
        </w:rPr>
        <w:t>the World Bank’s Global Program on Consumer Protection and Financial Literacy (CPFL)</w:t>
      </w:r>
      <w:r>
        <w:rPr>
          <w:rFonts w:cs="Calibri"/>
          <w:sz w:val="24"/>
          <w:szCs w:val="24"/>
          <w:lang w:val="en-US"/>
        </w:rPr>
        <w:t>.</w:t>
      </w:r>
    </w:p>
    <w:p w14:paraId="66AFD4CA" w14:textId="77777777" w:rsidR="0065328D" w:rsidRPr="00010CD9" w:rsidRDefault="0065328D" w:rsidP="0065328D"/>
    <w:sectPr w:rsidR="0065328D" w:rsidRPr="00010CD9" w:rsidSect="00542BE7">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FDA5" w14:textId="77777777" w:rsidR="00542BE7" w:rsidRDefault="00542BE7" w:rsidP="00542BE7">
      <w:pPr>
        <w:spacing w:after="0" w:line="240" w:lineRule="auto"/>
      </w:pPr>
      <w:r>
        <w:separator/>
      </w:r>
    </w:p>
  </w:endnote>
  <w:endnote w:type="continuationSeparator" w:id="0">
    <w:p w14:paraId="25B13057" w14:textId="77777777" w:rsidR="00542BE7" w:rsidRDefault="00542BE7" w:rsidP="0054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DE63" w14:textId="77777777" w:rsidR="00542BE7" w:rsidRDefault="00542BE7">
    <w:pPr>
      <w:pStyle w:val="Footer"/>
      <w:jc w:val="right"/>
    </w:pPr>
  </w:p>
  <w:p w14:paraId="196F1D29" w14:textId="77777777" w:rsidR="00542BE7" w:rsidRDefault="00542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12897"/>
      <w:docPartObj>
        <w:docPartGallery w:val="Page Numbers (Bottom of Page)"/>
        <w:docPartUnique/>
      </w:docPartObj>
    </w:sdtPr>
    <w:sdtEndPr>
      <w:rPr>
        <w:noProof/>
      </w:rPr>
    </w:sdtEndPr>
    <w:sdtContent>
      <w:p w14:paraId="63596347" w14:textId="3CCB59D3" w:rsidR="00542BE7" w:rsidRDefault="00542BE7">
        <w:pPr>
          <w:pStyle w:val="Footer"/>
          <w:jc w:val="right"/>
        </w:pPr>
        <w:r>
          <w:fldChar w:fldCharType="begin"/>
        </w:r>
        <w:r>
          <w:instrText xml:space="preserve"> PAGE   \* MERGEFORMAT </w:instrText>
        </w:r>
        <w:r>
          <w:fldChar w:fldCharType="separate"/>
        </w:r>
        <w:r w:rsidR="00EF1F93">
          <w:rPr>
            <w:noProof/>
          </w:rPr>
          <w:t>2</w:t>
        </w:r>
        <w:r>
          <w:rPr>
            <w:noProof/>
          </w:rPr>
          <w:fldChar w:fldCharType="end"/>
        </w:r>
      </w:p>
    </w:sdtContent>
  </w:sdt>
  <w:p w14:paraId="774277A0" w14:textId="77777777" w:rsidR="00542BE7" w:rsidRDefault="00542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3ECA" w14:textId="77777777" w:rsidR="00542BE7" w:rsidRDefault="00542BE7" w:rsidP="00542BE7">
      <w:pPr>
        <w:spacing w:after="0" w:line="240" w:lineRule="auto"/>
      </w:pPr>
      <w:r>
        <w:separator/>
      </w:r>
    </w:p>
  </w:footnote>
  <w:footnote w:type="continuationSeparator" w:id="0">
    <w:p w14:paraId="34B5F63F" w14:textId="77777777" w:rsidR="00542BE7" w:rsidRDefault="00542BE7" w:rsidP="00542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75D1"/>
    <w:multiLevelType w:val="hybridMultilevel"/>
    <w:tmpl w:val="94982CAA"/>
    <w:lvl w:ilvl="0" w:tplc="C464DA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649111B"/>
    <w:multiLevelType w:val="hybridMultilevel"/>
    <w:tmpl w:val="FC061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D9"/>
    <w:rsid w:val="00010CD9"/>
    <w:rsid w:val="00063995"/>
    <w:rsid w:val="000C7873"/>
    <w:rsid w:val="000E3078"/>
    <w:rsid w:val="001367AE"/>
    <w:rsid w:val="001665AD"/>
    <w:rsid w:val="001A3B0E"/>
    <w:rsid w:val="001B52D7"/>
    <w:rsid w:val="00241EC4"/>
    <w:rsid w:val="002730BE"/>
    <w:rsid w:val="002A4C4F"/>
    <w:rsid w:val="002E1646"/>
    <w:rsid w:val="003606F6"/>
    <w:rsid w:val="00397D7E"/>
    <w:rsid w:val="004048D3"/>
    <w:rsid w:val="00485183"/>
    <w:rsid w:val="00517190"/>
    <w:rsid w:val="00542BE7"/>
    <w:rsid w:val="005679A1"/>
    <w:rsid w:val="005754D3"/>
    <w:rsid w:val="005E73AD"/>
    <w:rsid w:val="0065328D"/>
    <w:rsid w:val="00673B30"/>
    <w:rsid w:val="006A58CE"/>
    <w:rsid w:val="007A199B"/>
    <w:rsid w:val="007C4946"/>
    <w:rsid w:val="00824950"/>
    <w:rsid w:val="00897BD8"/>
    <w:rsid w:val="009A20D5"/>
    <w:rsid w:val="009E58EB"/>
    <w:rsid w:val="00A3685D"/>
    <w:rsid w:val="00AA5E8B"/>
    <w:rsid w:val="00AA6879"/>
    <w:rsid w:val="00BB1045"/>
    <w:rsid w:val="00C05FCC"/>
    <w:rsid w:val="00C17550"/>
    <w:rsid w:val="00C302AB"/>
    <w:rsid w:val="00C66899"/>
    <w:rsid w:val="00C746A3"/>
    <w:rsid w:val="00C80D14"/>
    <w:rsid w:val="00C8591B"/>
    <w:rsid w:val="00C976E5"/>
    <w:rsid w:val="00C976F6"/>
    <w:rsid w:val="00CA3EFA"/>
    <w:rsid w:val="00CD3022"/>
    <w:rsid w:val="00CF300B"/>
    <w:rsid w:val="00D70AB4"/>
    <w:rsid w:val="00DC6E91"/>
    <w:rsid w:val="00E43266"/>
    <w:rsid w:val="00E72A8E"/>
    <w:rsid w:val="00E7405F"/>
    <w:rsid w:val="00EF1F93"/>
    <w:rsid w:val="00EF28D8"/>
    <w:rsid w:val="00F2616D"/>
    <w:rsid w:val="00F35CFC"/>
    <w:rsid w:val="00F46FBD"/>
    <w:rsid w:val="00F64A24"/>
    <w:rsid w:val="00FB6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712FA6"/>
  <w15:chartTrackingRefBased/>
  <w15:docId w15:val="{3CA726D5-A39D-4C8E-83DB-2017F0BC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D9"/>
    <w:pPr>
      <w:ind w:left="720"/>
      <w:contextualSpacing/>
    </w:pPr>
  </w:style>
  <w:style w:type="table" w:styleId="TableGrid">
    <w:name w:val="Table Grid"/>
    <w:basedOn w:val="TableNormal"/>
    <w:uiPriority w:val="39"/>
    <w:rsid w:val="006A58CE"/>
    <w:pPr>
      <w:spacing w:after="0" w:line="240" w:lineRule="auto"/>
    </w:pPr>
    <w:rPr>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B0E"/>
    <w:rPr>
      <w:color w:val="0563C1" w:themeColor="hyperlink"/>
      <w:u w:val="single"/>
    </w:rPr>
  </w:style>
  <w:style w:type="paragraph" w:styleId="BalloonText">
    <w:name w:val="Balloon Text"/>
    <w:basedOn w:val="Normal"/>
    <w:link w:val="BalloonTextChar"/>
    <w:uiPriority w:val="99"/>
    <w:semiHidden/>
    <w:unhideWhenUsed/>
    <w:rsid w:val="00542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E7"/>
    <w:rPr>
      <w:rFonts w:ascii="Segoe UI" w:hAnsi="Segoe UI" w:cs="Segoe UI"/>
      <w:sz w:val="18"/>
      <w:szCs w:val="18"/>
    </w:rPr>
  </w:style>
  <w:style w:type="paragraph" w:styleId="Header">
    <w:name w:val="header"/>
    <w:basedOn w:val="Normal"/>
    <w:link w:val="HeaderChar"/>
    <w:uiPriority w:val="99"/>
    <w:unhideWhenUsed/>
    <w:rsid w:val="00542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BE7"/>
  </w:style>
  <w:style w:type="paragraph" w:styleId="Footer">
    <w:name w:val="footer"/>
    <w:basedOn w:val="Normal"/>
    <w:link w:val="FooterChar"/>
    <w:uiPriority w:val="99"/>
    <w:unhideWhenUsed/>
    <w:rsid w:val="00542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BE7"/>
  </w:style>
  <w:style w:type="character" w:styleId="CommentReference">
    <w:name w:val="annotation reference"/>
    <w:basedOn w:val="DefaultParagraphFont"/>
    <w:uiPriority w:val="99"/>
    <w:semiHidden/>
    <w:unhideWhenUsed/>
    <w:rsid w:val="00C976E5"/>
    <w:rPr>
      <w:sz w:val="16"/>
      <w:szCs w:val="16"/>
    </w:rPr>
  </w:style>
  <w:style w:type="paragraph" w:styleId="CommentText">
    <w:name w:val="annotation text"/>
    <w:basedOn w:val="Normal"/>
    <w:link w:val="CommentTextChar"/>
    <w:uiPriority w:val="99"/>
    <w:semiHidden/>
    <w:unhideWhenUsed/>
    <w:rsid w:val="00C976E5"/>
    <w:pPr>
      <w:spacing w:line="240" w:lineRule="auto"/>
    </w:pPr>
    <w:rPr>
      <w:sz w:val="20"/>
      <w:szCs w:val="20"/>
    </w:rPr>
  </w:style>
  <w:style w:type="character" w:customStyle="1" w:styleId="CommentTextChar">
    <w:name w:val="Comment Text Char"/>
    <w:basedOn w:val="DefaultParagraphFont"/>
    <w:link w:val="CommentText"/>
    <w:uiPriority w:val="99"/>
    <w:semiHidden/>
    <w:rsid w:val="00C976E5"/>
    <w:rPr>
      <w:sz w:val="20"/>
      <w:szCs w:val="20"/>
    </w:rPr>
  </w:style>
  <w:style w:type="paragraph" w:styleId="CommentSubject">
    <w:name w:val="annotation subject"/>
    <w:basedOn w:val="CommentText"/>
    <w:next w:val="CommentText"/>
    <w:link w:val="CommentSubjectChar"/>
    <w:uiPriority w:val="99"/>
    <w:semiHidden/>
    <w:unhideWhenUsed/>
    <w:rsid w:val="00C976E5"/>
    <w:rPr>
      <w:b/>
      <w:bCs/>
    </w:rPr>
  </w:style>
  <w:style w:type="character" w:customStyle="1" w:styleId="CommentSubjectChar">
    <w:name w:val="Comment Subject Char"/>
    <w:basedOn w:val="CommentTextChar"/>
    <w:link w:val="CommentSubject"/>
    <w:uiPriority w:val="99"/>
    <w:semiHidden/>
    <w:rsid w:val="00C97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50042">
      <w:bodyDiv w:val="1"/>
      <w:marLeft w:val="0"/>
      <w:marRight w:val="0"/>
      <w:marTop w:val="0"/>
      <w:marBottom w:val="0"/>
      <w:divBdr>
        <w:top w:val="none" w:sz="0" w:space="0" w:color="auto"/>
        <w:left w:val="none" w:sz="0" w:space="0" w:color="auto"/>
        <w:bottom w:val="none" w:sz="0" w:space="0" w:color="auto"/>
        <w:right w:val="none" w:sz="0" w:space="0" w:color="auto"/>
      </w:divBdr>
    </w:div>
    <w:div w:id="1950887321">
      <w:bodyDiv w:val="1"/>
      <w:marLeft w:val="0"/>
      <w:marRight w:val="0"/>
      <w:marTop w:val="0"/>
      <w:marBottom w:val="0"/>
      <w:divBdr>
        <w:top w:val="none" w:sz="0" w:space="0" w:color="auto"/>
        <w:left w:val="none" w:sz="0" w:space="0" w:color="auto"/>
        <w:bottom w:val="none" w:sz="0" w:space="0" w:color="auto"/>
        <w:right w:val="none" w:sz="0" w:space="0" w:color="auto"/>
      </w:divBdr>
    </w:div>
    <w:div w:id="20276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961C-F368-48F4-9531-86DD40BB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Laura</dc:creator>
  <cp:keywords/>
  <dc:description/>
  <cp:lastModifiedBy>Allison, Laura</cp:lastModifiedBy>
  <cp:revision>3</cp:revision>
  <cp:lastPrinted>2019-09-29T23:41:00Z</cp:lastPrinted>
  <dcterms:created xsi:type="dcterms:W3CDTF">2019-12-12T22:28:00Z</dcterms:created>
  <dcterms:modified xsi:type="dcterms:W3CDTF">2019-12-12T22:32:00Z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d627328d-4acc-492a-b41c-a25c47d44bbf</vt:lpwstr>
  </property>
  <property fmtid="{D5CDD505-2E9C-101B-9397-08002B2CF9AE}" pid="3" name="SEC">
    <vt:lpwstr>UNCLASSIFIED</vt:lpwstr>
  </property>
  <property fmtid="{D5CDD505-2E9C-101B-9397-08002B2CF9AE}" pid="4" name="DLM">
    <vt:lpwstr>No DLM</vt:lpwstr>
  </property>
</Properties>
</file>