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1" w:rightFromText="141" w:vertAnchor="text" w:horzAnchor="margin" w:tblpY="269"/>
        <w:tblW w:w="8505" w:type="dxa"/>
        <w:tblInd w:w="0" w:type="dxa"/>
        <w:tblBorders>
          <w:top w:val="none" w:sz="0" w:space="0" w:color="auto"/>
          <w:left w:val="none" w:sz="0" w:space="0" w:color="auto"/>
          <w:bottom w:val="single" w:sz="24" w:space="0" w:color="AEBEBE"/>
          <w:right w:val="none" w:sz="0" w:space="0" w:color="auto"/>
          <w:insideH w:val="none" w:sz="0" w:space="0" w:color="auto"/>
          <w:insideV w:val="none" w:sz="0" w:space="0" w:color="auto"/>
        </w:tblBorders>
        <w:tblLook w:val="04A0" w:firstRow="1" w:lastRow="0" w:firstColumn="1" w:lastColumn="0" w:noHBand="0" w:noVBand="1"/>
      </w:tblPr>
      <w:tblGrid>
        <w:gridCol w:w="8505"/>
      </w:tblGrid>
      <w:tr w:rsidR="006A58CE" w14:paraId="72B6E171" w14:textId="77777777" w:rsidTr="006A58CE">
        <w:trPr>
          <w:trHeight w:val="988"/>
        </w:trPr>
        <w:tc>
          <w:tcPr>
            <w:tcW w:w="8505" w:type="dxa"/>
            <w:tcBorders>
              <w:top w:val="nil"/>
              <w:left w:val="nil"/>
              <w:bottom w:val="single" w:sz="24" w:space="0" w:color="AEBEBE"/>
              <w:right w:val="nil"/>
            </w:tcBorders>
          </w:tcPr>
          <w:p w14:paraId="33A7A78B" w14:textId="77777777" w:rsidR="006A58CE" w:rsidRDefault="006A58CE">
            <w:pPr>
              <w:rPr>
                <w:rFonts w:ascii="Cambria-Bold" w:hAnsi="Cambria-Bold" w:cs="Cambria-Bold"/>
                <w:b/>
                <w:bCs/>
                <w:color w:val="336868"/>
                <w:sz w:val="72"/>
                <w:szCs w:val="72"/>
                <w:lang w:val="en-US"/>
              </w:rPr>
            </w:pPr>
            <w:r>
              <w:rPr>
                <w:noProof/>
                <w:lang w:eastAsia="en-AU"/>
              </w:rPr>
              <w:drawing>
                <wp:inline distT="0" distB="0" distL="0" distR="0" wp14:anchorId="1565B0AC" wp14:editId="7937605E">
                  <wp:extent cx="5023485" cy="1670685"/>
                  <wp:effectExtent l="0" t="0" r="5715" b="5715"/>
                  <wp:docPr id="1" name="Grafik 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23485" cy="1670685"/>
                          </a:xfrm>
                          <a:prstGeom prst="rect">
                            <a:avLst/>
                          </a:prstGeom>
                          <a:noFill/>
                        </pic:spPr>
                      </pic:pic>
                    </a:graphicData>
                  </a:graphic>
                </wp:inline>
              </w:drawing>
            </w:r>
          </w:p>
          <w:p w14:paraId="41D35690" w14:textId="77777777" w:rsidR="006A58CE" w:rsidRDefault="006A58CE">
            <w:pPr>
              <w:rPr>
                <w:rFonts w:ascii="Cambria-Bold" w:hAnsi="Cambria-Bold" w:cs="Cambria-Bold"/>
                <w:b/>
                <w:bCs/>
                <w:color w:val="336868"/>
                <w:sz w:val="72"/>
                <w:szCs w:val="72"/>
                <w:lang w:val="en-US"/>
              </w:rPr>
            </w:pPr>
          </w:p>
          <w:p w14:paraId="63ACAEB2" w14:textId="77777777" w:rsidR="006A58CE" w:rsidRDefault="006A58CE">
            <w:pPr>
              <w:rPr>
                <w:rFonts w:ascii="Cambria-Bold" w:hAnsi="Cambria-Bold" w:cs="Cambria-Bold"/>
                <w:b/>
                <w:bCs/>
                <w:color w:val="336868"/>
                <w:sz w:val="72"/>
                <w:szCs w:val="72"/>
                <w:lang w:val="en-US"/>
              </w:rPr>
            </w:pPr>
          </w:p>
        </w:tc>
      </w:tr>
    </w:tbl>
    <w:p w14:paraId="6CF392C6" w14:textId="77777777" w:rsidR="006A58CE" w:rsidRDefault="006A58CE" w:rsidP="006A58CE">
      <w:pPr>
        <w:rPr>
          <w:rFonts w:ascii="Cambria-Bold" w:hAnsi="Cambria-Bold" w:cs="Cambria-Bold"/>
          <w:b/>
          <w:bCs/>
          <w:color w:val="336868"/>
          <w:sz w:val="16"/>
          <w:szCs w:val="16"/>
          <w:lang w:val="en-US"/>
        </w:rPr>
      </w:pPr>
    </w:p>
    <w:p w14:paraId="5752B754" w14:textId="77777777" w:rsidR="006A58CE" w:rsidRDefault="006A58CE" w:rsidP="006A58CE">
      <w:pPr>
        <w:rPr>
          <w:rFonts w:ascii="Cambria-Bold" w:hAnsi="Cambria-Bold" w:cs="Cambria-Bold"/>
          <w:b/>
          <w:bCs/>
          <w:color w:val="336868"/>
          <w:sz w:val="16"/>
          <w:szCs w:val="16"/>
          <w:lang w:val="en-US"/>
        </w:rPr>
      </w:pPr>
    </w:p>
    <w:p w14:paraId="1B500608" w14:textId="77777777" w:rsidR="006A58CE" w:rsidRDefault="006A58CE" w:rsidP="006A58CE">
      <w:pPr>
        <w:rPr>
          <w:rFonts w:ascii="Cambria-Bold" w:hAnsi="Cambria-Bold" w:cs="Cambria-Bold"/>
          <w:b/>
          <w:bCs/>
          <w:color w:val="336868"/>
          <w:sz w:val="16"/>
          <w:szCs w:val="16"/>
          <w:lang w:val="en-US"/>
        </w:rPr>
      </w:pPr>
    </w:p>
    <w:p w14:paraId="680425B0" w14:textId="77777777" w:rsidR="006A58CE" w:rsidRDefault="006A58CE" w:rsidP="006A58CE">
      <w:pPr>
        <w:spacing w:before="160"/>
        <w:rPr>
          <w:rFonts w:ascii="Cambria-Bold" w:hAnsi="Cambria-Bold" w:cs="Cambria-Bold"/>
          <w:b/>
          <w:bCs/>
          <w:color w:val="336868"/>
          <w:sz w:val="28"/>
          <w:szCs w:val="28"/>
          <w:lang w:val="en-US"/>
        </w:rPr>
      </w:pPr>
    </w:p>
    <w:p w14:paraId="0226C767" w14:textId="77777777" w:rsidR="006A58CE" w:rsidRDefault="006A58CE" w:rsidP="006A58CE">
      <w:pPr>
        <w:spacing w:before="160"/>
        <w:jc w:val="center"/>
        <w:rPr>
          <w:rFonts w:ascii="Cambria-Bold" w:hAnsi="Cambria-Bold" w:cs="Cambria-Bold"/>
          <w:b/>
          <w:bCs/>
          <w:color w:val="336868"/>
          <w:sz w:val="72"/>
          <w:szCs w:val="72"/>
          <w:lang w:val="en-US"/>
        </w:rPr>
      </w:pPr>
      <w:r>
        <w:rPr>
          <w:rFonts w:ascii="Cambria-Bold" w:hAnsi="Cambria-Bold" w:cs="Cambria-Bold"/>
          <w:b/>
          <w:bCs/>
          <w:color w:val="336868"/>
          <w:sz w:val="72"/>
          <w:szCs w:val="72"/>
          <w:lang w:val="en-US"/>
        </w:rPr>
        <w:t>G20 National Remittance Plan 2019</w:t>
      </w:r>
    </w:p>
    <w:p w14:paraId="24BC7490" w14:textId="0E79B2B9" w:rsidR="006A58CE" w:rsidRDefault="00C35B72" w:rsidP="006A58CE">
      <w:pPr>
        <w:spacing w:before="160"/>
        <w:jc w:val="center"/>
        <w:rPr>
          <w:rFonts w:ascii="Cambria-Bold" w:hAnsi="Cambria-Bold" w:cs="Cambria-Bold"/>
          <w:b/>
          <w:bCs/>
          <w:color w:val="336868"/>
          <w:sz w:val="72"/>
          <w:szCs w:val="72"/>
          <w:lang w:val="en-US"/>
        </w:rPr>
      </w:pPr>
      <w:r>
        <w:rPr>
          <w:rFonts w:ascii="Cambria-Bold" w:hAnsi="Cambria-Bold" w:cs="Cambria-Bold"/>
          <w:b/>
          <w:bCs/>
          <w:color w:val="336868"/>
          <w:sz w:val="72"/>
          <w:szCs w:val="72"/>
          <w:lang w:val="en-US"/>
        </w:rPr>
        <w:t xml:space="preserve">Spain </w:t>
      </w:r>
      <w:r w:rsidR="00D3438B">
        <w:rPr>
          <w:rFonts w:ascii="Cambria-Bold" w:hAnsi="Cambria-Bold" w:cs="Cambria-Bold"/>
          <w:b/>
          <w:bCs/>
          <w:color w:val="336868"/>
          <w:sz w:val="72"/>
          <w:szCs w:val="72"/>
          <w:lang w:val="en-US"/>
        </w:rPr>
        <w:t xml:space="preserve"> </w:t>
      </w:r>
    </w:p>
    <w:tbl>
      <w:tblPr>
        <w:tblStyle w:val="TableGrid"/>
        <w:tblpPr w:leftFromText="142" w:rightFromText="142" w:vertAnchor="text" w:horzAnchor="margin" w:tblpY="188"/>
        <w:tblW w:w="8505" w:type="dxa"/>
        <w:tblInd w:w="0" w:type="dxa"/>
        <w:tblBorders>
          <w:top w:val="single" w:sz="24" w:space="0" w:color="AEBEBE"/>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5"/>
      </w:tblGrid>
      <w:tr w:rsidR="006A58CE" w14:paraId="183ECDF3" w14:textId="77777777" w:rsidTr="006A58CE">
        <w:trPr>
          <w:trHeight w:val="988"/>
        </w:trPr>
        <w:tc>
          <w:tcPr>
            <w:tcW w:w="8505" w:type="dxa"/>
            <w:tcBorders>
              <w:top w:val="single" w:sz="24" w:space="0" w:color="AEBEBE"/>
              <w:left w:val="nil"/>
              <w:bottom w:val="nil"/>
              <w:right w:val="nil"/>
            </w:tcBorders>
          </w:tcPr>
          <w:p w14:paraId="6CD0905A" w14:textId="77777777" w:rsidR="006A58CE" w:rsidRDefault="006A58CE">
            <w:pPr>
              <w:rPr>
                <w:rFonts w:ascii="Cambria-Bold" w:hAnsi="Cambria-Bold" w:cs="Cambria-Bold"/>
                <w:b/>
                <w:bCs/>
                <w:color w:val="336868"/>
                <w:sz w:val="72"/>
                <w:szCs w:val="72"/>
                <w:lang w:val="en-US"/>
              </w:rPr>
            </w:pPr>
          </w:p>
        </w:tc>
      </w:tr>
    </w:tbl>
    <w:p w14:paraId="3C6FA37E" w14:textId="77777777" w:rsidR="006A58CE" w:rsidRDefault="006A58CE" w:rsidP="006A58CE">
      <w:pPr>
        <w:jc w:val="center"/>
        <w:rPr>
          <w:sz w:val="40"/>
          <w:lang w:val="tr-TR"/>
        </w:rPr>
      </w:pPr>
    </w:p>
    <w:p w14:paraId="21DFE5CD" w14:textId="77777777" w:rsidR="006A58CE" w:rsidRDefault="006A58CE" w:rsidP="006A58CE">
      <w:pPr>
        <w:rPr>
          <w:rFonts w:cs="Cambria-Bold"/>
          <w:b/>
          <w:bCs/>
          <w:color w:val="336868"/>
          <w:sz w:val="80"/>
          <w:szCs w:val="80"/>
          <w:lang w:val="en-US"/>
        </w:rPr>
      </w:pPr>
    </w:p>
    <w:p w14:paraId="257FB8D3" w14:textId="77777777" w:rsidR="006A58CE" w:rsidRDefault="006A58CE" w:rsidP="006A58CE">
      <w:pPr>
        <w:rPr>
          <w:b/>
          <w:sz w:val="28"/>
          <w:szCs w:val="28"/>
        </w:rPr>
      </w:pPr>
      <w:r w:rsidRPr="00010CD9">
        <w:rPr>
          <w:b/>
          <w:sz w:val="28"/>
          <w:szCs w:val="28"/>
        </w:rPr>
        <w:t xml:space="preserve"> </w:t>
      </w:r>
    </w:p>
    <w:p w14:paraId="2FE237D7" w14:textId="77777777" w:rsidR="00542BE7" w:rsidRDefault="006A58CE">
      <w:pPr>
        <w:rPr>
          <w:b/>
          <w:sz w:val="28"/>
          <w:szCs w:val="28"/>
        </w:rPr>
        <w:sectPr w:rsidR="00542BE7">
          <w:footerReference w:type="default" r:id="rId9"/>
          <w:pgSz w:w="11906" w:h="16838"/>
          <w:pgMar w:top="1440" w:right="1440" w:bottom="1440" w:left="1440" w:header="708" w:footer="708" w:gutter="0"/>
          <w:cols w:space="708"/>
          <w:docGrid w:linePitch="360"/>
        </w:sectPr>
      </w:pPr>
      <w:r>
        <w:rPr>
          <w:b/>
          <w:sz w:val="28"/>
          <w:szCs w:val="28"/>
        </w:rPr>
        <w:br w:type="page"/>
      </w:r>
    </w:p>
    <w:p w14:paraId="14850DFF" w14:textId="4854E354" w:rsidR="00010CD9" w:rsidRDefault="00010CD9" w:rsidP="006A58CE">
      <w:pPr>
        <w:rPr>
          <w:b/>
          <w:sz w:val="28"/>
          <w:szCs w:val="28"/>
        </w:rPr>
      </w:pPr>
      <w:r w:rsidRPr="00010CD9">
        <w:rPr>
          <w:b/>
          <w:sz w:val="28"/>
          <w:szCs w:val="28"/>
        </w:rPr>
        <w:lastRenderedPageBreak/>
        <w:t>Background</w:t>
      </w:r>
      <w:r w:rsidRPr="00010CD9">
        <w:rPr>
          <w:b/>
          <w:sz w:val="28"/>
          <w:szCs w:val="28"/>
        </w:rPr>
        <w:tab/>
      </w:r>
    </w:p>
    <w:p w14:paraId="221088B5" w14:textId="2258DC83" w:rsidR="008543C5" w:rsidRPr="008543C5" w:rsidRDefault="008543C5" w:rsidP="008543C5">
      <w:pPr>
        <w:rPr>
          <w:i/>
        </w:rPr>
      </w:pPr>
      <w:r w:rsidRPr="008543C5">
        <w:rPr>
          <w:i/>
        </w:rPr>
        <w:t>Migrant Population, Remitt</w:t>
      </w:r>
      <w:r>
        <w:rPr>
          <w:i/>
        </w:rPr>
        <w:t>ance outflow and main corridors</w:t>
      </w:r>
    </w:p>
    <w:p w14:paraId="4ED1A621" w14:textId="1C49F0E7" w:rsidR="008543C5" w:rsidRDefault="008543C5" w:rsidP="008543C5">
      <w:r>
        <w:t>Migrants accounted 10% of people living in Spain in 2018, the biggest shares being from Morocco and Romania (15% each), according to the National Statistics Institute. From the information declared by the remittance sector under supervision of the Bank of Spain, the flow outside Spain was 7,154 million euros in 2018, and the main corridors are: Latin America (Bolivia, Brazil, Colombia, Dominican Republic, Ecuador, Honduras and Peru), Bulgaria and Romania, in Europe, Morocco and Nigeria, in Africa; the P</w:t>
      </w:r>
      <w:r>
        <w:t xml:space="preserve">hilippines and China, in Asia. </w:t>
      </w:r>
    </w:p>
    <w:p w14:paraId="1944E7CF" w14:textId="5D238A9B" w:rsidR="008543C5" w:rsidRPr="008543C5" w:rsidRDefault="008543C5" w:rsidP="008543C5">
      <w:pPr>
        <w:rPr>
          <w:i/>
        </w:rPr>
      </w:pPr>
      <w:r w:rsidRPr="008543C5">
        <w:rPr>
          <w:i/>
        </w:rPr>
        <w:t>R</w:t>
      </w:r>
      <w:r>
        <w:rPr>
          <w:i/>
        </w:rPr>
        <w:t>emittance costs reduced in 2018</w:t>
      </w:r>
    </w:p>
    <w:p w14:paraId="1DA79EA0" w14:textId="77777777" w:rsidR="008543C5" w:rsidRDefault="008543C5" w:rsidP="008543C5">
      <w:r>
        <w:t xml:space="preserve">The average cost of a 200-dollar remittance transfer from Spain was 5.6% in 2018, (5.7% in 2017). By destination, the lowest cost of such transfer from Spain is to the Philippines (4.6%), followed by Peru (4.8%) and Dominican Republic (4.9%). On the other side, China (13.2%) and Nigeria (7.3%) are the most expensive remittance corridors from Spain . </w:t>
      </w:r>
    </w:p>
    <w:p w14:paraId="6DB4602E" w14:textId="5CD2CA4C" w:rsidR="00010CD9" w:rsidRPr="00010CD9" w:rsidRDefault="00010CD9" w:rsidP="008543C5">
      <w:pPr>
        <w:rPr>
          <w:b/>
          <w:sz w:val="28"/>
          <w:szCs w:val="28"/>
        </w:rPr>
      </w:pPr>
      <w:r w:rsidRPr="00010CD9">
        <w:rPr>
          <w:b/>
          <w:sz w:val="28"/>
          <w:szCs w:val="28"/>
        </w:rPr>
        <w:t>2019 Country plan for reducing remittance transfer costs</w:t>
      </w:r>
    </w:p>
    <w:p w14:paraId="2FABFEA4" w14:textId="64369035" w:rsidR="00DC60C2" w:rsidRPr="00DC60C2" w:rsidRDefault="00DC60C2" w:rsidP="00DC60C2">
      <w:r w:rsidRPr="00DC60C2">
        <w:t>Spanish authorities are focused on:</w:t>
      </w:r>
    </w:p>
    <w:p w14:paraId="70C17E0C" w14:textId="1584535E" w:rsidR="00DC60C2" w:rsidRPr="00DC60C2" w:rsidRDefault="00DC60C2" w:rsidP="00DC60C2">
      <w:pPr>
        <w:ind w:left="-284" w:right="-284"/>
        <w:rPr>
          <w:rFonts w:cstheme="minorHAnsi"/>
          <w:i/>
          <w:color w:val="212121"/>
          <w:sz w:val="24"/>
          <w:szCs w:val="24"/>
          <w:lang w:val="en-US"/>
        </w:rPr>
      </w:pPr>
      <w:r w:rsidRPr="00DC60C2">
        <w:rPr>
          <w:rFonts w:cstheme="minorHAnsi"/>
          <w:b/>
          <w:i/>
          <w:color w:val="212121"/>
          <w:sz w:val="24"/>
          <w:szCs w:val="24"/>
          <w:lang w:val="en-US"/>
        </w:rPr>
        <w:t>Increasing competitiveness, facilitating the entrance of Fintech Service Providers</w:t>
      </w:r>
      <w:r w:rsidRPr="00DC60C2">
        <w:rPr>
          <w:rFonts w:cstheme="minorHAnsi"/>
          <w:i/>
          <w:color w:val="212121"/>
          <w:sz w:val="24"/>
          <w:szCs w:val="24"/>
          <w:lang w:val="en-US"/>
        </w:rPr>
        <w:t xml:space="preserve">. </w:t>
      </w:r>
    </w:p>
    <w:p w14:paraId="4A0D9602" w14:textId="77777777" w:rsidR="00DC60C2" w:rsidRPr="00DC60C2" w:rsidRDefault="00DC60C2" w:rsidP="00DC60C2">
      <w:pPr>
        <w:pStyle w:val="ListParagraph"/>
        <w:numPr>
          <w:ilvl w:val="0"/>
          <w:numId w:val="3"/>
        </w:numPr>
        <w:spacing w:after="0" w:line="240" w:lineRule="auto"/>
        <w:ind w:right="-284"/>
        <w:rPr>
          <w:rFonts w:cstheme="minorHAnsi"/>
          <w:lang w:val="en-US"/>
        </w:rPr>
      </w:pPr>
      <w:r w:rsidRPr="00DC60C2">
        <w:rPr>
          <w:rFonts w:cstheme="minorHAnsi"/>
          <w:b/>
          <w:lang w:val="en-US"/>
        </w:rPr>
        <w:t>The Payment Services Directive</w:t>
      </w:r>
      <w:r w:rsidRPr="00DC60C2">
        <w:rPr>
          <w:rFonts w:eastAsia="Times New Roman" w:cstheme="minorHAnsi"/>
          <w:lang w:val="en-US" w:eastAsia="es-ES"/>
        </w:rPr>
        <w:t xml:space="preserve"> </w:t>
      </w:r>
      <w:r w:rsidRPr="00DC60C2">
        <w:rPr>
          <w:rFonts w:cstheme="minorHAnsi"/>
          <w:b/>
          <w:lang w:val="en-US"/>
        </w:rPr>
        <w:t xml:space="preserve">2015/2366 (PSD2) provides room for new activities and actors related to payment services, such as those offered by </w:t>
      </w:r>
      <w:r w:rsidRPr="00DC60C2">
        <w:rPr>
          <w:rFonts w:cstheme="minorHAnsi"/>
          <w:lang w:val="en-US"/>
        </w:rPr>
        <w:t>financial technology companies (</w:t>
      </w:r>
      <w:r w:rsidRPr="00DC60C2">
        <w:rPr>
          <w:rFonts w:cstheme="minorHAnsi"/>
          <w:i/>
          <w:lang w:val="en-US"/>
        </w:rPr>
        <w:t>FinTechs</w:t>
      </w:r>
      <w:r w:rsidRPr="00DC60C2">
        <w:rPr>
          <w:rFonts w:cstheme="minorHAnsi"/>
          <w:lang w:val="en-US"/>
        </w:rPr>
        <w:t>). The Directive has been transposed to the Spanish regulation.</w:t>
      </w:r>
    </w:p>
    <w:p w14:paraId="0640AA1D" w14:textId="77777777" w:rsidR="00DC60C2" w:rsidRPr="00DC60C2" w:rsidRDefault="00DC60C2" w:rsidP="00DC60C2">
      <w:pPr>
        <w:tabs>
          <w:tab w:val="left" w:pos="2730"/>
        </w:tabs>
        <w:ind w:right="-284" w:firstLine="2730"/>
        <w:rPr>
          <w:rFonts w:cstheme="minorHAnsi"/>
          <w:lang w:val="en-US"/>
        </w:rPr>
      </w:pPr>
    </w:p>
    <w:p w14:paraId="79CAD6C6" w14:textId="77777777" w:rsidR="00DC60C2" w:rsidRPr="00DC60C2" w:rsidRDefault="00DC60C2" w:rsidP="00DC60C2">
      <w:pPr>
        <w:pStyle w:val="ListParagraph"/>
        <w:numPr>
          <w:ilvl w:val="0"/>
          <w:numId w:val="3"/>
        </w:numPr>
        <w:spacing w:after="0" w:line="240" w:lineRule="auto"/>
        <w:ind w:right="-284"/>
        <w:rPr>
          <w:rFonts w:cstheme="minorHAnsi"/>
          <w:color w:val="212121"/>
          <w:lang w:val="en-US"/>
        </w:rPr>
      </w:pPr>
      <w:r w:rsidRPr="00DC60C2">
        <w:rPr>
          <w:rFonts w:cstheme="minorHAnsi"/>
          <w:lang w:val="en-US"/>
        </w:rPr>
        <w:t xml:space="preserve">Besides EU regulation, common to all Member States, at national level </w:t>
      </w:r>
      <w:r w:rsidRPr="00DC60C2">
        <w:rPr>
          <w:rFonts w:cstheme="minorHAnsi"/>
          <w:color w:val="212121"/>
          <w:lang w:val="en-US"/>
        </w:rPr>
        <w:t xml:space="preserve">a </w:t>
      </w:r>
      <w:r w:rsidRPr="00DC60C2">
        <w:rPr>
          <w:rFonts w:cstheme="minorHAnsi"/>
          <w:b/>
          <w:color w:val="212121"/>
          <w:lang w:val="en-US"/>
        </w:rPr>
        <w:t>draft law for the Digital Transformation of the Spanish Financial Sector</w:t>
      </w:r>
      <w:r w:rsidRPr="00DC60C2">
        <w:rPr>
          <w:rFonts w:cstheme="minorHAnsi"/>
          <w:color w:val="212121"/>
          <w:lang w:val="en-US"/>
        </w:rPr>
        <w:t xml:space="preserve"> was approved by the Spanish Government </w:t>
      </w:r>
      <w:r w:rsidRPr="00DC60C2">
        <w:rPr>
          <w:rFonts w:cstheme="minorHAnsi"/>
          <w:lang w:val="en-US"/>
        </w:rPr>
        <w:t>i</w:t>
      </w:r>
      <w:r w:rsidRPr="00DC60C2">
        <w:rPr>
          <w:rFonts w:cstheme="minorHAnsi"/>
          <w:color w:val="212121"/>
          <w:lang w:val="en-US"/>
        </w:rPr>
        <w:t xml:space="preserve">n February 2019. This draft law seeks to support innovation, facilitate the digital transformation in the financial sector and benefit the economy as a whole, safeguarding four pillars: consumer protection, financial stability, market efficiency and the fight against money laundering and the financing of terrorism (AML/FT). In short, the aim is to </w:t>
      </w:r>
      <w:r w:rsidRPr="00DC60C2">
        <w:rPr>
          <w:rFonts w:cstheme="minorHAnsi"/>
          <w:color w:val="212121"/>
          <w:u w:val="single"/>
          <w:lang w:val="en-US"/>
        </w:rPr>
        <w:t xml:space="preserve">balance </w:t>
      </w:r>
      <w:r w:rsidRPr="00DC60C2">
        <w:rPr>
          <w:rFonts w:cstheme="minorHAnsi"/>
          <w:color w:val="212121"/>
          <w:lang w:val="en-US"/>
        </w:rPr>
        <w:t>the desire to</w:t>
      </w:r>
      <w:r w:rsidRPr="00DC60C2">
        <w:rPr>
          <w:rFonts w:cstheme="minorHAnsi"/>
          <w:color w:val="212121"/>
          <w:u w:val="single"/>
          <w:lang w:val="en-US"/>
        </w:rPr>
        <w:t xml:space="preserve"> support the digital transformation of the economy with the need to control the risks involved</w:t>
      </w:r>
      <w:r w:rsidRPr="00DC60C2">
        <w:rPr>
          <w:rFonts w:cstheme="minorHAnsi"/>
          <w:color w:val="212121"/>
          <w:lang w:val="en-US"/>
        </w:rPr>
        <w:t xml:space="preserve">, adding new tools for supervisors and regulators. The draft establishes the application of the </w:t>
      </w:r>
      <w:r w:rsidRPr="00DC60C2">
        <w:rPr>
          <w:rFonts w:cstheme="minorHAnsi"/>
          <w:color w:val="212121"/>
          <w:u w:val="single"/>
          <w:lang w:val="en-US"/>
        </w:rPr>
        <w:t>principle of proportionality</w:t>
      </w:r>
      <w:r w:rsidRPr="00DC60C2">
        <w:rPr>
          <w:rFonts w:cstheme="minorHAnsi"/>
          <w:color w:val="212121"/>
          <w:lang w:val="en-US"/>
        </w:rPr>
        <w:t xml:space="preserve"> between </w:t>
      </w:r>
      <w:r w:rsidRPr="00DC60C2">
        <w:rPr>
          <w:rFonts w:cstheme="minorHAnsi"/>
          <w:color w:val="212121"/>
          <w:u w:val="single"/>
          <w:lang w:val="en-US"/>
        </w:rPr>
        <w:t>activities and risks</w:t>
      </w:r>
      <w:r w:rsidRPr="00DC60C2">
        <w:rPr>
          <w:rFonts w:cstheme="minorHAnsi"/>
          <w:color w:val="212121"/>
          <w:lang w:val="en-US"/>
        </w:rPr>
        <w:t xml:space="preserve"> in the financial field.</w:t>
      </w:r>
    </w:p>
    <w:p w14:paraId="759E6BA1" w14:textId="77777777" w:rsidR="00DC60C2" w:rsidRDefault="00DC60C2" w:rsidP="00DC60C2">
      <w:pPr>
        <w:ind w:left="-284" w:right="-284"/>
        <w:rPr>
          <w:rFonts w:ascii="Arial" w:hAnsi="Arial" w:cs="Arial"/>
          <w:b/>
          <w:color w:val="212121"/>
          <w:lang w:val="en-US"/>
        </w:rPr>
      </w:pPr>
    </w:p>
    <w:p w14:paraId="1A722155" w14:textId="6BA65884" w:rsidR="00DC60C2" w:rsidRPr="00DC60C2" w:rsidRDefault="00DC60C2" w:rsidP="00DC60C2">
      <w:pPr>
        <w:ind w:left="-284" w:right="-284"/>
        <w:rPr>
          <w:rFonts w:cstheme="minorHAnsi"/>
          <w:b/>
          <w:i/>
          <w:color w:val="212121"/>
          <w:sz w:val="24"/>
          <w:szCs w:val="24"/>
          <w:lang w:val="en-US"/>
        </w:rPr>
      </w:pPr>
      <w:r w:rsidRPr="00DC60C2">
        <w:rPr>
          <w:rFonts w:cstheme="minorHAnsi"/>
          <w:b/>
          <w:i/>
          <w:color w:val="212121"/>
          <w:sz w:val="24"/>
          <w:szCs w:val="24"/>
          <w:lang w:val="en-US"/>
        </w:rPr>
        <w:t>Building a healthy financial system infrastructure, supporting innovation and the use of emerging technologies as well as improving the regulatory environment.</w:t>
      </w:r>
    </w:p>
    <w:p w14:paraId="27756C15" w14:textId="77777777" w:rsidR="00DC60C2" w:rsidRPr="00DC60C2" w:rsidRDefault="00DC60C2" w:rsidP="00DC60C2">
      <w:pPr>
        <w:pStyle w:val="ListParagraph"/>
        <w:numPr>
          <w:ilvl w:val="0"/>
          <w:numId w:val="4"/>
        </w:numPr>
        <w:spacing w:after="0" w:line="240" w:lineRule="auto"/>
        <w:ind w:right="-284"/>
        <w:rPr>
          <w:rFonts w:cstheme="minorHAnsi"/>
          <w:lang w:val="en-US"/>
        </w:rPr>
      </w:pPr>
      <w:r w:rsidRPr="00DC60C2">
        <w:rPr>
          <w:rFonts w:cstheme="minorHAnsi"/>
          <w:b/>
          <w:lang w:val="en-US"/>
        </w:rPr>
        <w:t>Remote on-boarding is allowed in our regulation</w:t>
      </w:r>
      <w:r w:rsidRPr="00DC60C2">
        <w:rPr>
          <w:rFonts w:cstheme="minorHAnsi"/>
          <w:lang w:val="en-US"/>
        </w:rPr>
        <w:t xml:space="preserve"> (Article 21.1 d, from the Royal Decree 304/2014 of 5 May, implementing Law 10/2010 of 28 April, on the prevention of money laundering and terrorist financing), giving the possibility of using alternative methods of </w:t>
      </w:r>
      <w:r w:rsidRPr="00DC60C2">
        <w:rPr>
          <w:rFonts w:cstheme="minorHAnsi"/>
          <w:u w:val="single"/>
          <w:lang w:val="en-US"/>
        </w:rPr>
        <w:t>consumer´s identification, such as videoconference</w:t>
      </w:r>
      <w:r w:rsidRPr="00DC60C2">
        <w:rPr>
          <w:rFonts w:cstheme="minorHAnsi"/>
          <w:lang w:val="en-US"/>
        </w:rPr>
        <w:t xml:space="preserve"> (</w:t>
      </w:r>
      <w:hyperlink r:id="rId10" w:history="1">
        <w:r w:rsidRPr="00DC60C2">
          <w:rPr>
            <w:rStyle w:val="Hyperlink"/>
            <w:rFonts w:cstheme="minorHAnsi"/>
            <w:lang w:val="en-US"/>
          </w:rPr>
          <w:t>subject to previous authorization from the Spanish FIU-SEPBLAC</w:t>
        </w:r>
      </w:hyperlink>
      <w:r w:rsidRPr="00DC60C2">
        <w:rPr>
          <w:rFonts w:cstheme="minorHAnsi"/>
          <w:lang w:val="en-US"/>
        </w:rPr>
        <w:t>).</w:t>
      </w:r>
    </w:p>
    <w:p w14:paraId="5EC02FED" w14:textId="77777777" w:rsidR="00DC60C2" w:rsidRPr="00DC60C2" w:rsidRDefault="00DC60C2" w:rsidP="00DC60C2">
      <w:pPr>
        <w:ind w:right="-284"/>
        <w:rPr>
          <w:rFonts w:cstheme="minorHAnsi"/>
          <w:lang w:val="en-US"/>
        </w:rPr>
      </w:pPr>
    </w:p>
    <w:p w14:paraId="0DFB902F" w14:textId="77777777" w:rsidR="00DC60C2" w:rsidRPr="00DC60C2" w:rsidRDefault="00DC60C2" w:rsidP="00DC60C2">
      <w:pPr>
        <w:pStyle w:val="ListParagraph"/>
        <w:numPr>
          <w:ilvl w:val="0"/>
          <w:numId w:val="4"/>
        </w:numPr>
        <w:spacing w:after="0" w:line="240" w:lineRule="auto"/>
        <w:ind w:left="142" w:right="-284"/>
        <w:rPr>
          <w:rFonts w:cstheme="minorHAnsi"/>
          <w:u w:val="single"/>
          <w:lang w:val="en-US"/>
        </w:rPr>
      </w:pPr>
      <w:r w:rsidRPr="00DC60C2">
        <w:rPr>
          <w:rFonts w:cstheme="minorHAnsi"/>
          <w:color w:val="212121"/>
          <w:lang w:val="en-US"/>
        </w:rPr>
        <w:t xml:space="preserve">The draft law for the Digital Transformation of the Spanish Financial Sector (approved by the Spanish Government </w:t>
      </w:r>
      <w:r w:rsidRPr="00DC60C2">
        <w:rPr>
          <w:rFonts w:cstheme="minorHAnsi"/>
          <w:lang w:val="en-US"/>
        </w:rPr>
        <w:t>i</w:t>
      </w:r>
      <w:r w:rsidRPr="00DC60C2">
        <w:rPr>
          <w:rFonts w:cstheme="minorHAnsi"/>
          <w:color w:val="212121"/>
          <w:lang w:val="en-US"/>
        </w:rPr>
        <w:t xml:space="preserve">n February 2019) includes a </w:t>
      </w:r>
      <w:r w:rsidRPr="00DC60C2">
        <w:rPr>
          <w:rFonts w:cstheme="minorHAnsi"/>
          <w:b/>
          <w:color w:val="212121"/>
          <w:lang w:val="en-US"/>
        </w:rPr>
        <w:t>Regulatory Sandbox to promote FinTech projects</w:t>
      </w:r>
      <w:r w:rsidRPr="00DC60C2">
        <w:rPr>
          <w:rFonts w:cstheme="minorHAnsi"/>
          <w:color w:val="212121"/>
          <w:lang w:val="en-US"/>
        </w:rPr>
        <w:t xml:space="preserve">. The future Regulatory Sandbox </w:t>
      </w:r>
      <w:r w:rsidRPr="00DC60C2">
        <w:rPr>
          <w:rFonts w:cstheme="minorHAnsi"/>
          <w:lang w:val="en-US"/>
        </w:rPr>
        <w:t xml:space="preserve">foresees the creation of a </w:t>
      </w:r>
      <w:r w:rsidRPr="00DC60C2">
        <w:rPr>
          <w:rFonts w:cstheme="minorHAnsi"/>
          <w:u w:val="single"/>
          <w:lang w:val="en-US"/>
        </w:rPr>
        <w:t>flexible</w:t>
      </w:r>
      <w:r w:rsidRPr="00DC60C2">
        <w:rPr>
          <w:rFonts w:cstheme="minorHAnsi"/>
          <w:lang w:val="en-US"/>
        </w:rPr>
        <w:t xml:space="preserve"> and controlled (but not “unregulated”) </w:t>
      </w:r>
      <w:r w:rsidRPr="00DC60C2">
        <w:rPr>
          <w:rFonts w:cstheme="minorHAnsi"/>
          <w:u w:val="single"/>
          <w:lang w:val="en-US"/>
        </w:rPr>
        <w:t>space to test different innovative projects.</w:t>
      </w:r>
    </w:p>
    <w:p w14:paraId="06D722EF" w14:textId="77777777" w:rsidR="00DC60C2" w:rsidRPr="00DC60C2" w:rsidRDefault="00DC60C2" w:rsidP="00DC60C2">
      <w:pPr>
        <w:ind w:left="360" w:right="-284"/>
        <w:rPr>
          <w:rFonts w:cstheme="minorHAnsi"/>
          <w:u w:val="single"/>
          <w:lang w:val="en-US"/>
        </w:rPr>
      </w:pPr>
    </w:p>
    <w:p w14:paraId="0663E5B9" w14:textId="77777777" w:rsidR="00DC60C2" w:rsidRPr="00DC60C2" w:rsidRDefault="00DC60C2" w:rsidP="00DC60C2">
      <w:pPr>
        <w:pStyle w:val="ListParagraph"/>
        <w:numPr>
          <w:ilvl w:val="0"/>
          <w:numId w:val="4"/>
        </w:numPr>
        <w:spacing w:after="0" w:line="240" w:lineRule="auto"/>
        <w:ind w:left="142"/>
        <w:rPr>
          <w:rFonts w:cstheme="minorHAnsi"/>
          <w:lang w:val="en-US"/>
        </w:rPr>
      </w:pPr>
      <w:r w:rsidRPr="00DC60C2">
        <w:rPr>
          <w:rFonts w:cstheme="minorHAnsi"/>
          <w:lang w:val="en-US"/>
        </w:rPr>
        <w:lastRenderedPageBreak/>
        <w:t xml:space="preserve">In March 2018 (and anticipating the incorporation of Spain to the </w:t>
      </w:r>
      <w:hyperlink r:id="rId11" w:history="1">
        <w:r w:rsidRPr="00DC60C2">
          <w:rPr>
            <w:rStyle w:val="Hyperlink"/>
            <w:rFonts w:cstheme="minorHAnsi"/>
            <w:lang w:val="en-US"/>
          </w:rPr>
          <w:t>European Blockchain Partnership -EBP</w:t>
        </w:r>
      </w:hyperlink>
      <w:r w:rsidRPr="00DC60C2">
        <w:rPr>
          <w:rFonts w:cstheme="minorHAnsi"/>
          <w:lang w:val="en-US"/>
        </w:rPr>
        <w:t xml:space="preserve"> in April 2018), the Treasury of Spain signed a cooperation MoU with </w:t>
      </w:r>
      <w:r w:rsidRPr="00DC60C2">
        <w:rPr>
          <w:rFonts w:cstheme="minorHAnsi"/>
          <w:u w:val="single"/>
          <w:lang w:val="en-US"/>
        </w:rPr>
        <w:t>Alastria, which is the world’s largest (more than 400 companies and institutions) non-profit multi-sector consortium promoting blockchain/distributed ledger technologies</w:t>
      </w:r>
      <w:r w:rsidRPr="00DC60C2">
        <w:rPr>
          <w:rFonts w:cstheme="minorHAnsi"/>
          <w:lang w:val="en-US"/>
        </w:rPr>
        <w:t>. Alastria’s aim is the establishment of a legally binding blockchain semi-public infrastructure fully aligned with European regulations, like GDPR. The European Commission has identified Alastria as a role model for interaction of the private sector with the future EBP’s infrastructure, and this MoU allows the Treasury of Spain closely watch the evolution of Alastria, in order to detect technological bias but also to learn how regulation could contribute to the adoption of blockchain/distributed ledger technologies to increase the resilience and efficiency of the economy</w:t>
      </w:r>
    </w:p>
    <w:p w14:paraId="417094D7" w14:textId="77777777" w:rsidR="00DC60C2" w:rsidRPr="00DC60C2" w:rsidRDefault="00DC60C2" w:rsidP="00DC60C2">
      <w:pPr>
        <w:pStyle w:val="ListParagraph"/>
        <w:ind w:left="76" w:right="-284"/>
        <w:rPr>
          <w:rFonts w:cstheme="minorHAnsi"/>
          <w:lang w:val="en-US"/>
        </w:rPr>
      </w:pPr>
    </w:p>
    <w:p w14:paraId="17C6BF2E" w14:textId="2413516E" w:rsidR="00DC60C2" w:rsidRPr="00DC60C2" w:rsidRDefault="00DC60C2" w:rsidP="00DC60C2">
      <w:pPr>
        <w:ind w:left="-284" w:right="-284"/>
        <w:rPr>
          <w:rFonts w:cstheme="minorHAnsi"/>
          <w:b/>
          <w:i/>
          <w:color w:val="212121"/>
          <w:sz w:val="24"/>
          <w:szCs w:val="24"/>
          <w:lang w:val="en-US"/>
        </w:rPr>
      </w:pPr>
      <w:r w:rsidRPr="00DC60C2">
        <w:rPr>
          <w:rFonts w:cstheme="minorHAnsi"/>
          <w:b/>
          <w:i/>
          <w:color w:val="212121"/>
          <w:sz w:val="24"/>
          <w:szCs w:val="24"/>
          <w:lang w:val="en-US"/>
        </w:rPr>
        <w:t>Enhancing Transparency and Consumer Protection</w:t>
      </w:r>
    </w:p>
    <w:p w14:paraId="43F32E07" w14:textId="3E3EC3A6" w:rsidR="00DC60C2" w:rsidRPr="00DC60C2" w:rsidRDefault="00DC60C2" w:rsidP="00DC60C2">
      <w:pPr>
        <w:ind w:left="-284" w:right="-284"/>
        <w:rPr>
          <w:rFonts w:cstheme="minorHAnsi"/>
          <w:color w:val="212121"/>
          <w:lang w:val="en-US"/>
        </w:rPr>
      </w:pPr>
      <w:r w:rsidRPr="00DC60C2">
        <w:rPr>
          <w:rFonts w:cstheme="minorHAnsi"/>
          <w:b/>
          <w:color w:val="212121"/>
          <w:lang w:val="en-US"/>
        </w:rPr>
        <w:t xml:space="preserve">International technical assistance. </w:t>
      </w:r>
      <w:r w:rsidRPr="00DC60C2">
        <w:rPr>
          <w:rFonts w:cstheme="minorHAnsi"/>
          <w:color w:val="212121"/>
          <w:lang w:val="en-US"/>
        </w:rPr>
        <w:t xml:space="preserve">Spain is very active in sharing knowledge and good practices with other countries through different channels and actors. </w:t>
      </w:r>
    </w:p>
    <w:p w14:paraId="63399D0E" w14:textId="77777777" w:rsidR="00DC60C2" w:rsidRPr="00DC60C2" w:rsidRDefault="00DC60C2" w:rsidP="00DC60C2">
      <w:pPr>
        <w:pStyle w:val="ListParagraph"/>
        <w:numPr>
          <w:ilvl w:val="0"/>
          <w:numId w:val="5"/>
        </w:numPr>
        <w:spacing w:after="0" w:line="240" w:lineRule="auto"/>
        <w:ind w:right="-284"/>
        <w:rPr>
          <w:rFonts w:cstheme="minorHAnsi"/>
          <w:color w:val="212121"/>
          <w:lang w:val="en-US"/>
        </w:rPr>
      </w:pPr>
      <w:r w:rsidRPr="00DC60C2">
        <w:rPr>
          <w:rFonts w:cstheme="minorHAnsi"/>
          <w:b/>
          <w:color w:val="212121"/>
          <w:lang w:val="en-US"/>
        </w:rPr>
        <w:t xml:space="preserve">Spain co-chairs the Financial Action Task Force (FATF) </w:t>
      </w:r>
      <w:r w:rsidRPr="00DC60C2">
        <w:rPr>
          <w:rFonts w:cstheme="minorHAnsi"/>
          <w:color w:val="212121"/>
          <w:lang w:val="en-US"/>
        </w:rPr>
        <w:t xml:space="preserve">which actively promotes the development of standards and fosters regulatory cooperation between jurisdictions. </w:t>
      </w:r>
      <w:r w:rsidRPr="00DC60C2">
        <w:rPr>
          <w:rFonts w:cstheme="minorHAnsi"/>
          <w:lang w:val="en-GB"/>
        </w:rPr>
        <w:t xml:space="preserve">FATF recently </w:t>
      </w:r>
      <w:r w:rsidRPr="00DC60C2">
        <w:rPr>
          <w:rFonts w:cstheme="minorHAnsi"/>
          <w:lang w:val="en"/>
        </w:rPr>
        <w:t xml:space="preserve">launched a new platform to share initiatives and developments or the benefit of governments and the private sector more broadly: </w:t>
      </w:r>
      <w:hyperlink r:id="rId12" w:anchor="d.en.471848" w:history="1">
        <w:r w:rsidRPr="00DC60C2">
          <w:rPr>
            <w:rStyle w:val="Hyperlink"/>
            <w:rFonts w:cstheme="minorHAnsi"/>
            <w:bCs/>
            <w:lang w:val="en"/>
          </w:rPr>
          <w:t>FATF FinTech and RegTech Initiative</w:t>
        </w:r>
      </w:hyperlink>
      <w:r w:rsidRPr="00DC60C2">
        <w:rPr>
          <w:rStyle w:val="Hyperlink"/>
          <w:rFonts w:cstheme="minorHAnsi"/>
          <w:bCs/>
          <w:lang w:val="en"/>
        </w:rPr>
        <w:t>.</w:t>
      </w:r>
    </w:p>
    <w:p w14:paraId="344B0C1C" w14:textId="77777777" w:rsidR="00DC60C2" w:rsidRPr="00DC60C2" w:rsidRDefault="00DC60C2" w:rsidP="00DC60C2">
      <w:pPr>
        <w:pStyle w:val="ListParagraph"/>
        <w:ind w:left="284" w:right="-284"/>
        <w:rPr>
          <w:rFonts w:cstheme="minorHAnsi"/>
          <w:color w:val="212121"/>
          <w:lang w:val="en-US"/>
        </w:rPr>
      </w:pPr>
    </w:p>
    <w:p w14:paraId="0F372E1C" w14:textId="77777777" w:rsidR="00DC60C2" w:rsidRPr="00DC60C2" w:rsidRDefault="00DC60C2" w:rsidP="00DC60C2">
      <w:pPr>
        <w:pStyle w:val="ListParagraph"/>
        <w:numPr>
          <w:ilvl w:val="0"/>
          <w:numId w:val="5"/>
        </w:numPr>
        <w:spacing w:after="0" w:line="240" w:lineRule="auto"/>
        <w:ind w:right="-284"/>
        <w:rPr>
          <w:rFonts w:cstheme="minorHAnsi"/>
          <w:iCs/>
          <w:lang w:val="en-US"/>
        </w:rPr>
      </w:pPr>
      <w:r w:rsidRPr="00DC60C2">
        <w:rPr>
          <w:rFonts w:cstheme="minorHAnsi"/>
          <w:color w:val="212121"/>
          <w:lang w:val="en-US"/>
        </w:rPr>
        <w:t xml:space="preserve">The topic of </w:t>
      </w:r>
      <w:r w:rsidRPr="00DC60C2">
        <w:rPr>
          <w:rFonts w:cstheme="minorHAnsi"/>
          <w:b/>
          <w:color w:val="212121"/>
          <w:lang w:val="en-US"/>
        </w:rPr>
        <w:t>remittances and diaspora investments is included in Spain's V Master Plan for Cooperation (2018/2021)</w:t>
      </w:r>
      <w:r w:rsidRPr="00DC60C2">
        <w:rPr>
          <w:rFonts w:cstheme="minorHAnsi"/>
          <w:color w:val="212121"/>
          <w:lang w:val="en-US"/>
        </w:rPr>
        <w:t xml:space="preserve"> and the Spanish Agency for International Development Cooperation (AECID) will be implementing an initiative on financial inclusion under the European Investment Plan (EIP), which includes special attention to interventions on banking of remittances.</w:t>
      </w:r>
    </w:p>
    <w:p w14:paraId="31066DCB" w14:textId="77777777" w:rsidR="00DC60C2" w:rsidRPr="00DC60C2" w:rsidRDefault="00DC60C2" w:rsidP="00DC60C2">
      <w:pPr>
        <w:pStyle w:val="ListParagraph"/>
        <w:rPr>
          <w:rFonts w:cstheme="minorHAnsi"/>
          <w:b/>
          <w:color w:val="212121"/>
          <w:lang w:val="en-US"/>
        </w:rPr>
      </w:pPr>
    </w:p>
    <w:p w14:paraId="792FFB06" w14:textId="165D2A94" w:rsidR="00DC60C2" w:rsidRPr="00DC60C2" w:rsidRDefault="00DC60C2" w:rsidP="00DC60C2">
      <w:pPr>
        <w:spacing w:after="0" w:line="240" w:lineRule="auto"/>
        <w:ind w:right="-284"/>
        <w:rPr>
          <w:rFonts w:cstheme="minorHAnsi"/>
          <w:iCs/>
          <w:lang w:val="en-US"/>
        </w:rPr>
      </w:pPr>
      <w:r w:rsidRPr="00DC60C2">
        <w:rPr>
          <w:rFonts w:cstheme="minorHAnsi"/>
          <w:b/>
          <w:color w:val="212121"/>
          <w:lang w:val="en-US"/>
        </w:rPr>
        <w:t xml:space="preserve">Private-public partnership at national level. </w:t>
      </w:r>
      <w:r w:rsidRPr="00DC60C2">
        <w:rPr>
          <w:rFonts w:cstheme="minorHAnsi"/>
          <w:lang w:val="en"/>
        </w:rPr>
        <w:t>Spanish authorities conduct outreach initiatives with different stakeholders such as workshops with compliance officers to share TF risk indicators as well as training sessions and consumer literacy projects involving the private sector</w:t>
      </w:r>
    </w:p>
    <w:p w14:paraId="40BE0DE4" w14:textId="77777777" w:rsidR="00DC60C2" w:rsidRDefault="00DC60C2" w:rsidP="00DC60C2">
      <w:pPr>
        <w:pStyle w:val="ListParagraph"/>
        <w:rPr>
          <w:rFonts w:ascii="Arial" w:hAnsi="Arial" w:cs="Arial"/>
          <w:b/>
          <w:color w:val="212121"/>
          <w:lang w:val="en-US"/>
        </w:rPr>
      </w:pPr>
    </w:p>
    <w:p w14:paraId="4B7C33A0" w14:textId="3CD62B76" w:rsidR="00DC60C2" w:rsidRPr="00DC60C2" w:rsidRDefault="00DC60C2" w:rsidP="00DC60C2">
      <w:pPr>
        <w:ind w:left="-284" w:right="-284"/>
        <w:rPr>
          <w:rFonts w:cstheme="minorHAnsi"/>
          <w:b/>
          <w:i/>
          <w:color w:val="212121"/>
          <w:sz w:val="24"/>
          <w:szCs w:val="24"/>
          <w:lang w:val="en-US"/>
        </w:rPr>
      </w:pPr>
      <w:r w:rsidRPr="00DC60C2">
        <w:rPr>
          <w:rFonts w:cstheme="minorHAnsi"/>
          <w:b/>
          <w:i/>
          <w:color w:val="212121"/>
          <w:sz w:val="24"/>
          <w:szCs w:val="24"/>
          <w:lang w:val="en-US"/>
        </w:rPr>
        <w:t>Facilitating end users’ access to transaction accounts offere</w:t>
      </w:r>
      <w:r>
        <w:rPr>
          <w:rFonts w:cstheme="minorHAnsi"/>
          <w:b/>
          <w:i/>
          <w:color w:val="212121"/>
          <w:sz w:val="24"/>
          <w:szCs w:val="24"/>
          <w:lang w:val="en-US"/>
        </w:rPr>
        <w:t>d by banks as well as non-banks</w:t>
      </w:r>
    </w:p>
    <w:p w14:paraId="76D54C20" w14:textId="77777777" w:rsidR="00DC60C2" w:rsidRPr="00DC60C2" w:rsidRDefault="00DC60C2" w:rsidP="00DC60C2">
      <w:pPr>
        <w:pStyle w:val="ListParagraph"/>
        <w:numPr>
          <w:ilvl w:val="0"/>
          <w:numId w:val="6"/>
        </w:numPr>
        <w:spacing w:after="0" w:line="240" w:lineRule="auto"/>
        <w:ind w:left="720"/>
        <w:rPr>
          <w:rFonts w:cstheme="minorHAnsi"/>
          <w:lang w:val="en-US"/>
        </w:rPr>
      </w:pPr>
      <w:r w:rsidRPr="00DC60C2">
        <w:rPr>
          <w:rFonts w:cstheme="minorHAnsi"/>
          <w:b/>
          <w:lang w:val="en-US"/>
        </w:rPr>
        <w:t>Directive 2014/92/EU on</w:t>
      </w:r>
      <w:r w:rsidRPr="00DC60C2">
        <w:rPr>
          <w:rFonts w:cstheme="minorHAnsi"/>
          <w:lang w:val="en-US"/>
        </w:rPr>
        <w:t xml:space="preserve"> the comparability of fees related to payment accounts, payment account switching and </w:t>
      </w:r>
      <w:r w:rsidRPr="00DC60C2">
        <w:rPr>
          <w:rFonts w:cstheme="minorHAnsi"/>
          <w:b/>
          <w:lang w:val="en-US"/>
        </w:rPr>
        <w:t xml:space="preserve">access to payment accounts with basic features it is transposed </w:t>
      </w:r>
      <w:r w:rsidRPr="00DC60C2">
        <w:rPr>
          <w:rFonts w:cstheme="minorHAnsi"/>
          <w:lang w:val="en-US"/>
        </w:rPr>
        <w:t>(see Royal Decree Law 19/2017). Two main features:</w:t>
      </w:r>
    </w:p>
    <w:p w14:paraId="6FD66102" w14:textId="77777777" w:rsidR="00DC60C2" w:rsidRPr="00DC60C2" w:rsidRDefault="00DC60C2" w:rsidP="00DC60C2">
      <w:pPr>
        <w:pStyle w:val="ListParagraph"/>
        <w:numPr>
          <w:ilvl w:val="0"/>
          <w:numId w:val="7"/>
        </w:numPr>
        <w:spacing w:line="256" w:lineRule="auto"/>
        <w:ind w:left="720"/>
        <w:rPr>
          <w:rFonts w:cstheme="minorHAnsi"/>
          <w:u w:val="single"/>
          <w:lang w:val="en-US"/>
        </w:rPr>
      </w:pPr>
      <w:r w:rsidRPr="00DC60C2">
        <w:rPr>
          <w:rFonts w:cstheme="minorHAnsi"/>
          <w:u w:val="single"/>
          <w:lang w:val="en-US"/>
        </w:rPr>
        <w:t>Physical attendance at the premises of the credit institutions should not be required.</w:t>
      </w:r>
    </w:p>
    <w:p w14:paraId="0E546D76" w14:textId="77777777" w:rsidR="00DC60C2" w:rsidRPr="00DC60C2" w:rsidRDefault="00DC60C2" w:rsidP="00DC60C2">
      <w:pPr>
        <w:pStyle w:val="ListParagraph"/>
        <w:numPr>
          <w:ilvl w:val="0"/>
          <w:numId w:val="7"/>
        </w:numPr>
        <w:spacing w:line="256" w:lineRule="auto"/>
        <w:ind w:left="720"/>
        <w:rPr>
          <w:rFonts w:cstheme="minorHAnsi"/>
          <w:lang w:val="en-US"/>
        </w:rPr>
      </w:pPr>
      <w:r w:rsidRPr="00DC60C2">
        <w:rPr>
          <w:rFonts w:cstheme="minorHAnsi"/>
          <w:u w:val="single"/>
          <w:lang w:val="en-US"/>
        </w:rPr>
        <w:t>Basic payment accounts are configured as a standardized financial product</w:t>
      </w:r>
      <w:r w:rsidRPr="00DC60C2">
        <w:rPr>
          <w:rFonts w:cstheme="minorHAnsi"/>
          <w:lang w:val="en-US"/>
        </w:rPr>
        <w:t>, which are required to be offered by all credit institutions with no exceptions other than a series of limited assumptions that allow their denial. In addition to this, the regulation of payment services applies to them (Order EHA / 1608/2010, of June 14, on transparency of the conditions and information requirements applicable to the payment services and Order EHA / 2899/2011, of October 28, on transparency and protection of the client of banking services).</w:t>
      </w:r>
      <w:bookmarkStart w:id="0" w:name="_GoBack"/>
      <w:bookmarkEnd w:id="0"/>
    </w:p>
    <w:p w14:paraId="57F7F25A" w14:textId="77777777" w:rsidR="00DC60C2" w:rsidRPr="00DC60C2" w:rsidRDefault="00DC60C2" w:rsidP="00DC60C2">
      <w:pPr>
        <w:pStyle w:val="ListParagraph"/>
        <w:spacing w:line="256" w:lineRule="auto"/>
        <w:rPr>
          <w:rFonts w:cstheme="minorHAnsi"/>
          <w:color w:val="212121"/>
          <w:lang w:val="en-US"/>
        </w:rPr>
      </w:pPr>
    </w:p>
    <w:p w14:paraId="66AFD4CA" w14:textId="4E4F454F" w:rsidR="0065328D" w:rsidRPr="00DC60C2" w:rsidRDefault="00DC60C2" w:rsidP="00E4183F">
      <w:pPr>
        <w:pStyle w:val="ListParagraph"/>
        <w:numPr>
          <w:ilvl w:val="0"/>
          <w:numId w:val="6"/>
        </w:numPr>
        <w:spacing w:line="256" w:lineRule="auto"/>
        <w:ind w:left="720"/>
        <w:rPr>
          <w:lang w:val="en-US"/>
        </w:rPr>
      </w:pPr>
      <w:r w:rsidRPr="00DC60C2">
        <w:rPr>
          <w:rFonts w:cstheme="minorHAnsi"/>
          <w:b/>
          <w:color w:val="212121"/>
          <w:lang w:val="en-US"/>
        </w:rPr>
        <w:t>Spain actively contributes to the EU Commission expert group on electronic identification and remote Know-Your-Customer processes</w:t>
      </w:r>
      <w:r w:rsidRPr="00DC60C2">
        <w:rPr>
          <w:rFonts w:cstheme="minorHAnsi"/>
          <w:color w:val="212121"/>
          <w:lang w:val="en-US"/>
        </w:rPr>
        <w:t xml:space="preserve"> (E03571). Government and private sector experts provide their own experience on electronic identification and remote Know-Your-Customer processes based on eIDAS for the purposes of digital on-boarding.</w:t>
      </w:r>
    </w:p>
    <w:sectPr w:rsidR="0065328D" w:rsidRPr="00DC60C2" w:rsidSect="00542BE7">
      <w:footerReference w:type="default" r:id="rId13"/>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57FDA5" w14:textId="77777777" w:rsidR="00542BE7" w:rsidRDefault="00542BE7" w:rsidP="00542BE7">
      <w:pPr>
        <w:spacing w:after="0" w:line="240" w:lineRule="auto"/>
      </w:pPr>
      <w:r>
        <w:separator/>
      </w:r>
    </w:p>
  </w:endnote>
  <w:endnote w:type="continuationSeparator" w:id="0">
    <w:p w14:paraId="25B13057" w14:textId="77777777" w:rsidR="00542BE7" w:rsidRDefault="00542BE7" w:rsidP="00542B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Bold">
    <w:altName w:val="Cambria"/>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5BDE63" w14:textId="77777777" w:rsidR="00542BE7" w:rsidRDefault="00542BE7">
    <w:pPr>
      <w:pStyle w:val="Footer"/>
      <w:jc w:val="right"/>
    </w:pPr>
  </w:p>
  <w:p w14:paraId="196F1D29" w14:textId="77777777" w:rsidR="00542BE7" w:rsidRDefault="00542B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0412897"/>
      <w:docPartObj>
        <w:docPartGallery w:val="Page Numbers (Bottom of Page)"/>
        <w:docPartUnique/>
      </w:docPartObj>
    </w:sdtPr>
    <w:sdtEndPr>
      <w:rPr>
        <w:noProof/>
      </w:rPr>
    </w:sdtEndPr>
    <w:sdtContent>
      <w:p w14:paraId="63596347" w14:textId="03C51296" w:rsidR="00542BE7" w:rsidRDefault="00542BE7">
        <w:pPr>
          <w:pStyle w:val="Footer"/>
          <w:jc w:val="right"/>
        </w:pPr>
        <w:r>
          <w:fldChar w:fldCharType="begin"/>
        </w:r>
        <w:r>
          <w:instrText xml:space="preserve"> PAGE   \* MERGEFORMAT </w:instrText>
        </w:r>
        <w:r>
          <w:fldChar w:fldCharType="separate"/>
        </w:r>
        <w:r w:rsidR="00DC60C2">
          <w:rPr>
            <w:noProof/>
          </w:rPr>
          <w:t>2</w:t>
        </w:r>
        <w:r>
          <w:rPr>
            <w:noProof/>
          </w:rPr>
          <w:fldChar w:fldCharType="end"/>
        </w:r>
      </w:p>
    </w:sdtContent>
  </w:sdt>
  <w:p w14:paraId="774277A0" w14:textId="77777777" w:rsidR="00542BE7" w:rsidRDefault="00542B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623ECA" w14:textId="77777777" w:rsidR="00542BE7" w:rsidRDefault="00542BE7" w:rsidP="00542BE7">
      <w:pPr>
        <w:spacing w:after="0" w:line="240" w:lineRule="auto"/>
      </w:pPr>
      <w:r>
        <w:separator/>
      </w:r>
    </w:p>
  </w:footnote>
  <w:footnote w:type="continuationSeparator" w:id="0">
    <w:p w14:paraId="34B5F63F" w14:textId="77777777" w:rsidR="00542BE7" w:rsidRDefault="00542BE7" w:rsidP="00542B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3F124A"/>
    <w:multiLevelType w:val="hybridMultilevel"/>
    <w:tmpl w:val="B88C6622"/>
    <w:lvl w:ilvl="0" w:tplc="FB6C236C">
      <w:start w:val="1"/>
      <w:numFmt w:val="bullet"/>
      <w:lvlText w:val="-"/>
      <w:lvlJc w:val="left"/>
      <w:pPr>
        <w:ind w:left="360" w:hanging="360"/>
      </w:pPr>
      <w:rPr>
        <w:rFonts w:ascii="Segoe UI" w:eastAsiaTheme="minorHAnsi" w:hAnsi="Segoe UI" w:cs="Segoe UI" w:hint="default"/>
      </w:rPr>
    </w:lvl>
    <w:lvl w:ilvl="1" w:tplc="0C0A0003">
      <w:start w:val="1"/>
      <w:numFmt w:val="bullet"/>
      <w:lvlText w:val="o"/>
      <w:lvlJc w:val="left"/>
      <w:pPr>
        <w:ind w:left="732" w:hanging="360"/>
      </w:pPr>
      <w:rPr>
        <w:rFonts w:ascii="Courier New" w:hAnsi="Courier New" w:cs="Courier New" w:hint="default"/>
      </w:rPr>
    </w:lvl>
    <w:lvl w:ilvl="2" w:tplc="0C0A0005">
      <w:start w:val="1"/>
      <w:numFmt w:val="bullet"/>
      <w:lvlText w:val=""/>
      <w:lvlJc w:val="left"/>
      <w:pPr>
        <w:ind w:left="1452" w:hanging="360"/>
      </w:pPr>
      <w:rPr>
        <w:rFonts w:ascii="Wingdings" w:hAnsi="Wingdings" w:hint="default"/>
      </w:rPr>
    </w:lvl>
    <w:lvl w:ilvl="3" w:tplc="0C0A0001">
      <w:start w:val="1"/>
      <w:numFmt w:val="bullet"/>
      <w:lvlText w:val=""/>
      <w:lvlJc w:val="left"/>
      <w:pPr>
        <w:ind w:left="2172" w:hanging="360"/>
      </w:pPr>
      <w:rPr>
        <w:rFonts w:ascii="Symbol" w:hAnsi="Symbol" w:hint="default"/>
      </w:rPr>
    </w:lvl>
    <w:lvl w:ilvl="4" w:tplc="0C0A0003">
      <w:start w:val="1"/>
      <w:numFmt w:val="bullet"/>
      <w:lvlText w:val="o"/>
      <w:lvlJc w:val="left"/>
      <w:pPr>
        <w:ind w:left="2892" w:hanging="360"/>
      </w:pPr>
      <w:rPr>
        <w:rFonts w:ascii="Courier New" w:hAnsi="Courier New" w:cs="Courier New" w:hint="default"/>
      </w:rPr>
    </w:lvl>
    <w:lvl w:ilvl="5" w:tplc="0C0A0005">
      <w:start w:val="1"/>
      <w:numFmt w:val="bullet"/>
      <w:lvlText w:val=""/>
      <w:lvlJc w:val="left"/>
      <w:pPr>
        <w:ind w:left="3612" w:hanging="360"/>
      </w:pPr>
      <w:rPr>
        <w:rFonts w:ascii="Wingdings" w:hAnsi="Wingdings" w:hint="default"/>
      </w:rPr>
    </w:lvl>
    <w:lvl w:ilvl="6" w:tplc="0C0A0001">
      <w:start w:val="1"/>
      <w:numFmt w:val="bullet"/>
      <w:lvlText w:val=""/>
      <w:lvlJc w:val="left"/>
      <w:pPr>
        <w:ind w:left="4332" w:hanging="360"/>
      </w:pPr>
      <w:rPr>
        <w:rFonts w:ascii="Symbol" w:hAnsi="Symbol" w:hint="default"/>
      </w:rPr>
    </w:lvl>
    <w:lvl w:ilvl="7" w:tplc="0C0A0003">
      <w:start w:val="1"/>
      <w:numFmt w:val="bullet"/>
      <w:lvlText w:val="o"/>
      <w:lvlJc w:val="left"/>
      <w:pPr>
        <w:ind w:left="5052" w:hanging="360"/>
      </w:pPr>
      <w:rPr>
        <w:rFonts w:ascii="Courier New" w:hAnsi="Courier New" w:cs="Courier New" w:hint="default"/>
      </w:rPr>
    </w:lvl>
    <w:lvl w:ilvl="8" w:tplc="0C0A0005">
      <w:start w:val="1"/>
      <w:numFmt w:val="bullet"/>
      <w:lvlText w:val=""/>
      <w:lvlJc w:val="left"/>
      <w:pPr>
        <w:ind w:left="5772" w:hanging="360"/>
      </w:pPr>
      <w:rPr>
        <w:rFonts w:ascii="Wingdings" w:hAnsi="Wingdings" w:hint="default"/>
      </w:rPr>
    </w:lvl>
  </w:abstractNum>
  <w:abstractNum w:abstractNumId="1" w15:restartNumberingAfterBreak="0">
    <w:nsid w:val="2CC075D1"/>
    <w:multiLevelType w:val="hybridMultilevel"/>
    <w:tmpl w:val="94982CAA"/>
    <w:lvl w:ilvl="0" w:tplc="C464DA4A">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4D5209EF"/>
    <w:multiLevelType w:val="hybridMultilevel"/>
    <w:tmpl w:val="1E588A4C"/>
    <w:lvl w:ilvl="0" w:tplc="DE82D806">
      <w:start w:val="1"/>
      <w:numFmt w:val="upperLetter"/>
      <w:lvlText w:val="%1)"/>
      <w:lvlJc w:val="left"/>
      <w:pPr>
        <w:ind w:left="360" w:hanging="360"/>
      </w:pPr>
      <w:rPr>
        <w:b/>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3" w15:restartNumberingAfterBreak="0">
    <w:nsid w:val="53441855"/>
    <w:multiLevelType w:val="hybridMultilevel"/>
    <w:tmpl w:val="6444EAAC"/>
    <w:lvl w:ilvl="0" w:tplc="0C0A0001">
      <w:start w:val="1"/>
      <w:numFmt w:val="bullet"/>
      <w:lvlText w:val=""/>
      <w:lvlJc w:val="left"/>
      <w:pPr>
        <w:ind w:left="1004" w:hanging="360"/>
      </w:pPr>
      <w:rPr>
        <w:rFonts w:ascii="Symbol" w:hAnsi="Symbol" w:hint="default"/>
      </w:rPr>
    </w:lvl>
    <w:lvl w:ilvl="1" w:tplc="0C0A0003">
      <w:start w:val="1"/>
      <w:numFmt w:val="bullet"/>
      <w:lvlText w:val="o"/>
      <w:lvlJc w:val="left"/>
      <w:pPr>
        <w:ind w:left="1724" w:hanging="360"/>
      </w:pPr>
      <w:rPr>
        <w:rFonts w:ascii="Courier New" w:hAnsi="Courier New" w:cs="Courier New" w:hint="default"/>
      </w:rPr>
    </w:lvl>
    <w:lvl w:ilvl="2" w:tplc="0C0A0005">
      <w:start w:val="1"/>
      <w:numFmt w:val="bullet"/>
      <w:lvlText w:val=""/>
      <w:lvlJc w:val="left"/>
      <w:pPr>
        <w:ind w:left="2444" w:hanging="360"/>
      </w:pPr>
      <w:rPr>
        <w:rFonts w:ascii="Wingdings" w:hAnsi="Wingdings" w:hint="default"/>
      </w:rPr>
    </w:lvl>
    <w:lvl w:ilvl="3" w:tplc="0C0A0001">
      <w:start w:val="1"/>
      <w:numFmt w:val="bullet"/>
      <w:lvlText w:val=""/>
      <w:lvlJc w:val="left"/>
      <w:pPr>
        <w:ind w:left="3164" w:hanging="360"/>
      </w:pPr>
      <w:rPr>
        <w:rFonts w:ascii="Symbol" w:hAnsi="Symbol" w:hint="default"/>
      </w:rPr>
    </w:lvl>
    <w:lvl w:ilvl="4" w:tplc="0C0A0003">
      <w:start w:val="1"/>
      <w:numFmt w:val="bullet"/>
      <w:lvlText w:val="o"/>
      <w:lvlJc w:val="left"/>
      <w:pPr>
        <w:ind w:left="3884" w:hanging="360"/>
      </w:pPr>
      <w:rPr>
        <w:rFonts w:ascii="Courier New" w:hAnsi="Courier New" w:cs="Courier New" w:hint="default"/>
      </w:rPr>
    </w:lvl>
    <w:lvl w:ilvl="5" w:tplc="0C0A0005">
      <w:start w:val="1"/>
      <w:numFmt w:val="bullet"/>
      <w:lvlText w:val=""/>
      <w:lvlJc w:val="left"/>
      <w:pPr>
        <w:ind w:left="4604" w:hanging="360"/>
      </w:pPr>
      <w:rPr>
        <w:rFonts w:ascii="Wingdings" w:hAnsi="Wingdings" w:hint="default"/>
      </w:rPr>
    </w:lvl>
    <w:lvl w:ilvl="6" w:tplc="0C0A0001">
      <w:start w:val="1"/>
      <w:numFmt w:val="bullet"/>
      <w:lvlText w:val=""/>
      <w:lvlJc w:val="left"/>
      <w:pPr>
        <w:ind w:left="5324" w:hanging="360"/>
      </w:pPr>
      <w:rPr>
        <w:rFonts w:ascii="Symbol" w:hAnsi="Symbol" w:hint="default"/>
      </w:rPr>
    </w:lvl>
    <w:lvl w:ilvl="7" w:tplc="0C0A0003">
      <w:start w:val="1"/>
      <w:numFmt w:val="bullet"/>
      <w:lvlText w:val="o"/>
      <w:lvlJc w:val="left"/>
      <w:pPr>
        <w:ind w:left="6044" w:hanging="360"/>
      </w:pPr>
      <w:rPr>
        <w:rFonts w:ascii="Courier New" w:hAnsi="Courier New" w:cs="Courier New" w:hint="default"/>
      </w:rPr>
    </w:lvl>
    <w:lvl w:ilvl="8" w:tplc="0C0A0005">
      <w:start w:val="1"/>
      <w:numFmt w:val="bullet"/>
      <w:lvlText w:val=""/>
      <w:lvlJc w:val="left"/>
      <w:pPr>
        <w:ind w:left="6764" w:hanging="360"/>
      </w:pPr>
      <w:rPr>
        <w:rFonts w:ascii="Wingdings" w:hAnsi="Wingdings" w:hint="default"/>
      </w:rPr>
    </w:lvl>
  </w:abstractNum>
  <w:abstractNum w:abstractNumId="4" w15:restartNumberingAfterBreak="0">
    <w:nsid w:val="75EF1757"/>
    <w:multiLevelType w:val="hybridMultilevel"/>
    <w:tmpl w:val="D1EE49F6"/>
    <w:lvl w:ilvl="0" w:tplc="EFB80EE6">
      <w:start w:val="1"/>
      <w:numFmt w:val="upperLetter"/>
      <w:lvlText w:val="%1)"/>
      <w:lvlJc w:val="left"/>
      <w:pPr>
        <w:ind w:left="76" w:hanging="360"/>
      </w:pPr>
      <w:rPr>
        <w:b/>
        <w:color w:val="212121"/>
      </w:rPr>
    </w:lvl>
    <w:lvl w:ilvl="1" w:tplc="0C0A0019">
      <w:start w:val="1"/>
      <w:numFmt w:val="lowerLetter"/>
      <w:lvlText w:val="%2."/>
      <w:lvlJc w:val="left"/>
      <w:pPr>
        <w:ind w:left="796" w:hanging="360"/>
      </w:pPr>
    </w:lvl>
    <w:lvl w:ilvl="2" w:tplc="0C0A001B">
      <w:start w:val="1"/>
      <w:numFmt w:val="lowerRoman"/>
      <w:lvlText w:val="%3."/>
      <w:lvlJc w:val="right"/>
      <w:pPr>
        <w:ind w:left="1516" w:hanging="180"/>
      </w:pPr>
    </w:lvl>
    <w:lvl w:ilvl="3" w:tplc="0C0A000F">
      <w:start w:val="1"/>
      <w:numFmt w:val="decimal"/>
      <w:lvlText w:val="%4."/>
      <w:lvlJc w:val="left"/>
      <w:pPr>
        <w:ind w:left="2236" w:hanging="360"/>
      </w:pPr>
    </w:lvl>
    <w:lvl w:ilvl="4" w:tplc="0C0A0019">
      <w:start w:val="1"/>
      <w:numFmt w:val="lowerLetter"/>
      <w:lvlText w:val="%5."/>
      <w:lvlJc w:val="left"/>
      <w:pPr>
        <w:ind w:left="2956" w:hanging="360"/>
      </w:pPr>
    </w:lvl>
    <w:lvl w:ilvl="5" w:tplc="0C0A001B">
      <w:start w:val="1"/>
      <w:numFmt w:val="lowerRoman"/>
      <w:lvlText w:val="%6."/>
      <w:lvlJc w:val="right"/>
      <w:pPr>
        <w:ind w:left="3676" w:hanging="180"/>
      </w:pPr>
    </w:lvl>
    <w:lvl w:ilvl="6" w:tplc="0C0A000F">
      <w:start w:val="1"/>
      <w:numFmt w:val="decimal"/>
      <w:lvlText w:val="%7."/>
      <w:lvlJc w:val="left"/>
      <w:pPr>
        <w:ind w:left="4396" w:hanging="360"/>
      </w:pPr>
    </w:lvl>
    <w:lvl w:ilvl="7" w:tplc="0C0A0019">
      <w:start w:val="1"/>
      <w:numFmt w:val="lowerLetter"/>
      <w:lvlText w:val="%8."/>
      <w:lvlJc w:val="left"/>
      <w:pPr>
        <w:ind w:left="5116" w:hanging="360"/>
      </w:pPr>
    </w:lvl>
    <w:lvl w:ilvl="8" w:tplc="0C0A001B">
      <w:start w:val="1"/>
      <w:numFmt w:val="lowerRoman"/>
      <w:lvlText w:val="%9."/>
      <w:lvlJc w:val="right"/>
      <w:pPr>
        <w:ind w:left="5836" w:hanging="180"/>
      </w:pPr>
    </w:lvl>
  </w:abstractNum>
  <w:abstractNum w:abstractNumId="5" w15:restartNumberingAfterBreak="0">
    <w:nsid w:val="7649111B"/>
    <w:multiLevelType w:val="hybridMultilevel"/>
    <w:tmpl w:val="FC0615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89F30EB"/>
    <w:multiLevelType w:val="hybridMultilevel"/>
    <w:tmpl w:val="45C2725E"/>
    <w:lvl w:ilvl="0" w:tplc="0C090015">
      <w:start w:val="1"/>
      <w:numFmt w:val="upperLetter"/>
      <w:lvlText w:val="%1."/>
      <w:lvlJc w:val="left"/>
      <w:pPr>
        <w:ind w:left="720" w:hanging="360"/>
      </w:p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6"/>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lvlOverride w:ilvl="2"/>
    <w:lvlOverride w:ilvl="3"/>
    <w:lvlOverride w:ilvl="4"/>
    <w:lvlOverride w:ilvl="5"/>
    <w:lvlOverride w:ilvl="6"/>
    <w:lvlOverride w:ilvl="7"/>
    <w:lvlOverride w:ilvl="8"/>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Override w:ilvl="1"/>
    <w:lvlOverride w:ilvl="2"/>
    <w:lvlOverride w:ilvl="3"/>
    <w:lvlOverride w:ilvl="4"/>
    <w:lvlOverride w:ilvl="5"/>
    <w:lvlOverride w:ilvl="6"/>
    <w:lvlOverride w:ilvl="7"/>
    <w:lvlOverride w:ilvl="8"/>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CD9"/>
    <w:rsid w:val="00010CD9"/>
    <w:rsid w:val="00063995"/>
    <w:rsid w:val="000C7873"/>
    <w:rsid w:val="000E3078"/>
    <w:rsid w:val="001367AE"/>
    <w:rsid w:val="001665AD"/>
    <w:rsid w:val="001A3B0E"/>
    <w:rsid w:val="001B52D7"/>
    <w:rsid w:val="00241EC4"/>
    <w:rsid w:val="002730BE"/>
    <w:rsid w:val="002A4C4F"/>
    <w:rsid w:val="002E1646"/>
    <w:rsid w:val="003606F6"/>
    <w:rsid w:val="00397D7E"/>
    <w:rsid w:val="004048D3"/>
    <w:rsid w:val="00485183"/>
    <w:rsid w:val="00517190"/>
    <w:rsid w:val="00542BE7"/>
    <w:rsid w:val="005679A1"/>
    <w:rsid w:val="005754D3"/>
    <w:rsid w:val="005E73AD"/>
    <w:rsid w:val="0065328D"/>
    <w:rsid w:val="006A58CE"/>
    <w:rsid w:val="007A199B"/>
    <w:rsid w:val="007C4946"/>
    <w:rsid w:val="00824950"/>
    <w:rsid w:val="008543C5"/>
    <w:rsid w:val="00897BD8"/>
    <w:rsid w:val="009A20D5"/>
    <w:rsid w:val="009E58EB"/>
    <w:rsid w:val="00A3685D"/>
    <w:rsid w:val="00AA5E8B"/>
    <w:rsid w:val="00AA6879"/>
    <w:rsid w:val="00BB1045"/>
    <w:rsid w:val="00C05FCC"/>
    <w:rsid w:val="00C17550"/>
    <w:rsid w:val="00C302AB"/>
    <w:rsid w:val="00C35B72"/>
    <w:rsid w:val="00C66899"/>
    <w:rsid w:val="00C746A3"/>
    <w:rsid w:val="00C80D14"/>
    <w:rsid w:val="00C8591B"/>
    <w:rsid w:val="00C976E5"/>
    <w:rsid w:val="00C976F6"/>
    <w:rsid w:val="00CA3EFA"/>
    <w:rsid w:val="00CD3022"/>
    <w:rsid w:val="00CF300B"/>
    <w:rsid w:val="00D3438B"/>
    <w:rsid w:val="00D70AB4"/>
    <w:rsid w:val="00DC60C2"/>
    <w:rsid w:val="00DC6E91"/>
    <w:rsid w:val="00E43266"/>
    <w:rsid w:val="00E72A8E"/>
    <w:rsid w:val="00E7405F"/>
    <w:rsid w:val="00EF28D8"/>
    <w:rsid w:val="00F2616D"/>
    <w:rsid w:val="00F35CFC"/>
    <w:rsid w:val="00F46FBD"/>
    <w:rsid w:val="00F64A24"/>
    <w:rsid w:val="00FB6F5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5712FA6"/>
  <w15:chartTrackingRefBased/>
  <w15:docId w15:val="{3CA726D5-A39D-4C8E-83DB-2017F0BC4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0CD9"/>
    <w:pPr>
      <w:ind w:left="720"/>
      <w:contextualSpacing/>
    </w:pPr>
  </w:style>
  <w:style w:type="table" w:styleId="TableGrid">
    <w:name w:val="Table Grid"/>
    <w:basedOn w:val="TableNormal"/>
    <w:uiPriority w:val="39"/>
    <w:rsid w:val="006A58CE"/>
    <w:pPr>
      <w:spacing w:after="0" w:line="240" w:lineRule="auto"/>
    </w:pPr>
    <w:rPr>
      <w:lang w:val="tr-T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A3B0E"/>
    <w:rPr>
      <w:color w:val="0563C1" w:themeColor="hyperlink"/>
      <w:u w:val="single"/>
    </w:rPr>
  </w:style>
  <w:style w:type="paragraph" w:styleId="BalloonText">
    <w:name w:val="Balloon Text"/>
    <w:basedOn w:val="Normal"/>
    <w:link w:val="BalloonTextChar"/>
    <w:uiPriority w:val="99"/>
    <w:semiHidden/>
    <w:unhideWhenUsed/>
    <w:rsid w:val="00542B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2BE7"/>
    <w:rPr>
      <w:rFonts w:ascii="Segoe UI" w:hAnsi="Segoe UI" w:cs="Segoe UI"/>
      <w:sz w:val="18"/>
      <w:szCs w:val="18"/>
    </w:rPr>
  </w:style>
  <w:style w:type="paragraph" w:styleId="Header">
    <w:name w:val="header"/>
    <w:basedOn w:val="Normal"/>
    <w:link w:val="HeaderChar"/>
    <w:uiPriority w:val="99"/>
    <w:unhideWhenUsed/>
    <w:rsid w:val="00542B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2BE7"/>
  </w:style>
  <w:style w:type="paragraph" w:styleId="Footer">
    <w:name w:val="footer"/>
    <w:basedOn w:val="Normal"/>
    <w:link w:val="FooterChar"/>
    <w:uiPriority w:val="99"/>
    <w:unhideWhenUsed/>
    <w:rsid w:val="00542B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2BE7"/>
  </w:style>
  <w:style w:type="character" w:styleId="CommentReference">
    <w:name w:val="annotation reference"/>
    <w:basedOn w:val="DefaultParagraphFont"/>
    <w:uiPriority w:val="99"/>
    <w:semiHidden/>
    <w:unhideWhenUsed/>
    <w:rsid w:val="00C976E5"/>
    <w:rPr>
      <w:sz w:val="16"/>
      <w:szCs w:val="16"/>
    </w:rPr>
  </w:style>
  <w:style w:type="paragraph" w:styleId="CommentText">
    <w:name w:val="annotation text"/>
    <w:basedOn w:val="Normal"/>
    <w:link w:val="CommentTextChar"/>
    <w:uiPriority w:val="99"/>
    <w:semiHidden/>
    <w:unhideWhenUsed/>
    <w:rsid w:val="00C976E5"/>
    <w:pPr>
      <w:spacing w:line="240" w:lineRule="auto"/>
    </w:pPr>
    <w:rPr>
      <w:sz w:val="20"/>
      <w:szCs w:val="20"/>
    </w:rPr>
  </w:style>
  <w:style w:type="character" w:customStyle="1" w:styleId="CommentTextChar">
    <w:name w:val="Comment Text Char"/>
    <w:basedOn w:val="DefaultParagraphFont"/>
    <w:link w:val="CommentText"/>
    <w:uiPriority w:val="99"/>
    <w:semiHidden/>
    <w:rsid w:val="00C976E5"/>
    <w:rPr>
      <w:sz w:val="20"/>
      <w:szCs w:val="20"/>
    </w:rPr>
  </w:style>
  <w:style w:type="paragraph" w:styleId="CommentSubject">
    <w:name w:val="annotation subject"/>
    <w:basedOn w:val="CommentText"/>
    <w:next w:val="CommentText"/>
    <w:link w:val="CommentSubjectChar"/>
    <w:uiPriority w:val="99"/>
    <w:semiHidden/>
    <w:unhideWhenUsed/>
    <w:rsid w:val="00C976E5"/>
    <w:rPr>
      <w:b/>
      <w:bCs/>
    </w:rPr>
  </w:style>
  <w:style w:type="character" w:customStyle="1" w:styleId="CommentSubjectChar">
    <w:name w:val="Comment Subject Char"/>
    <w:basedOn w:val="CommentTextChar"/>
    <w:link w:val="CommentSubject"/>
    <w:uiPriority w:val="99"/>
    <w:semiHidden/>
    <w:rsid w:val="00C976E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3057079">
      <w:bodyDiv w:val="1"/>
      <w:marLeft w:val="0"/>
      <w:marRight w:val="0"/>
      <w:marTop w:val="0"/>
      <w:marBottom w:val="0"/>
      <w:divBdr>
        <w:top w:val="none" w:sz="0" w:space="0" w:color="auto"/>
        <w:left w:val="none" w:sz="0" w:space="0" w:color="auto"/>
        <w:bottom w:val="none" w:sz="0" w:space="0" w:color="auto"/>
        <w:right w:val="none" w:sz="0" w:space="0" w:color="auto"/>
      </w:divBdr>
    </w:div>
    <w:div w:id="1436560343">
      <w:bodyDiv w:val="1"/>
      <w:marLeft w:val="0"/>
      <w:marRight w:val="0"/>
      <w:marTop w:val="0"/>
      <w:marBottom w:val="0"/>
      <w:divBdr>
        <w:top w:val="none" w:sz="0" w:space="0" w:color="auto"/>
        <w:left w:val="none" w:sz="0" w:space="0" w:color="auto"/>
        <w:bottom w:val="none" w:sz="0" w:space="0" w:color="auto"/>
        <w:right w:val="none" w:sz="0" w:space="0" w:color="auto"/>
      </w:divBdr>
    </w:div>
    <w:div w:id="1770850042">
      <w:bodyDiv w:val="1"/>
      <w:marLeft w:val="0"/>
      <w:marRight w:val="0"/>
      <w:marTop w:val="0"/>
      <w:marBottom w:val="0"/>
      <w:divBdr>
        <w:top w:val="none" w:sz="0" w:space="0" w:color="auto"/>
        <w:left w:val="none" w:sz="0" w:space="0" w:color="auto"/>
        <w:bottom w:val="none" w:sz="0" w:space="0" w:color="auto"/>
        <w:right w:val="none" w:sz="0" w:space="0" w:color="auto"/>
      </w:divBdr>
    </w:div>
    <w:div w:id="1950887321">
      <w:bodyDiv w:val="1"/>
      <w:marLeft w:val="0"/>
      <w:marRight w:val="0"/>
      <w:marTop w:val="0"/>
      <w:marBottom w:val="0"/>
      <w:divBdr>
        <w:top w:val="none" w:sz="0" w:space="0" w:color="auto"/>
        <w:left w:val="none" w:sz="0" w:space="0" w:color="auto"/>
        <w:bottom w:val="none" w:sz="0" w:space="0" w:color="auto"/>
        <w:right w:val="none" w:sz="0" w:space="0" w:color="auto"/>
      </w:divBdr>
    </w:div>
    <w:div w:id="2027629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atf-gafi.org/fintech-regtec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europa.eu/digital-single-market/en/news/european-countries-join-blockchain-partnershi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sepblac.es/wp-content/uploads/2018/02/autorizacion_identificacion_mediante_videoconferencia.pdf"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183CA3-DC48-413F-BD30-1549EF497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1030</Words>
  <Characters>5874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Department of Foreign Affairs and Trade</Company>
  <LinksUpToDate>false</LinksUpToDate>
  <CharactersWithSpaces>6891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Laura</dc:creator>
  <cp:keywords/>
  <dc:description/>
  <cp:lastModifiedBy>Allison, Laura</cp:lastModifiedBy>
  <cp:revision>3</cp:revision>
  <cp:lastPrinted>2019-09-29T23:41:00Z</cp:lastPrinted>
  <dcterms:created xsi:type="dcterms:W3CDTF">2019-12-12T01:16:00Z</dcterms:created>
  <dcterms:modified xsi:type="dcterms:W3CDTF">2019-12-12T01:24:00Z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7a133980-5675-417b-a27f-dd2db0c98cc9</vt:lpwstr>
  </property>
  <property fmtid="{D5CDD505-2E9C-101B-9397-08002B2CF9AE}" pid="3" name="SEC">
    <vt:lpwstr>UNCLASSIFIED</vt:lpwstr>
  </property>
  <property fmtid="{D5CDD505-2E9C-101B-9397-08002B2CF9AE}" pid="4" name="DLM">
    <vt:lpwstr>No DLM</vt:lpwstr>
  </property>
</Properties>
</file>