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269"/>
        <w:tblW w:w="8505" w:type="dxa"/>
        <w:tblBorders>
          <w:top w:val="none" w:sz="0" w:space="0" w:color="auto"/>
          <w:left w:val="none" w:sz="0" w:space="0" w:color="auto"/>
          <w:bottom w:val="single" w:sz="24" w:space="0" w:color="AEBEBE"/>
          <w:right w:val="none" w:sz="0" w:space="0" w:color="auto"/>
          <w:insideH w:val="none" w:sz="0" w:space="0" w:color="auto"/>
          <w:insideV w:val="none" w:sz="0" w:space="0" w:color="auto"/>
        </w:tblBorders>
        <w:tblLook w:val="04A0" w:firstRow="1" w:lastRow="0" w:firstColumn="1" w:lastColumn="0" w:noHBand="0" w:noVBand="1"/>
      </w:tblPr>
      <w:tblGrid>
        <w:gridCol w:w="8505"/>
      </w:tblGrid>
      <w:tr w:rsidR="00323B8C" w14:paraId="5E6402B6" w14:textId="77777777" w:rsidTr="00A128B1">
        <w:trPr>
          <w:trHeight w:val="988"/>
        </w:trPr>
        <w:tc>
          <w:tcPr>
            <w:tcW w:w="8505" w:type="dxa"/>
            <w:tcBorders>
              <w:top w:val="nil"/>
              <w:left w:val="nil"/>
              <w:bottom w:val="single" w:sz="24" w:space="0" w:color="AEBEBE"/>
              <w:right w:val="nil"/>
            </w:tcBorders>
          </w:tcPr>
          <w:p w14:paraId="658227AA" w14:textId="77777777" w:rsidR="00323B8C" w:rsidRDefault="00323B8C" w:rsidP="00A128B1">
            <w:pPr>
              <w:rPr>
                <w:rFonts w:ascii="Cambria-Bold" w:hAnsi="Cambria-Bold" w:cs="Cambria-Bold"/>
                <w:b/>
                <w:bCs/>
                <w:color w:val="336868"/>
                <w:sz w:val="72"/>
                <w:szCs w:val="72"/>
                <w:lang w:val="en-US"/>
              </w:rPr>
            </w:pPr>
            <w:r>
              <w:rPr>
                <w:noProof/>
                <w:lang w:val="es-MX" w:eastAsia="es-MX"/>
              </w:rPr>
              <w:drawing>
                <wp:inline distT="0" distB="0" distL="0" distR="0" wp14:anchorId="40ED75C6" wp14:editId="70CC148E">
                  <wp:extent cx="5023485" cy="1670685"/>
                  <wp:effectExtent l="0" t="0" r="5715" b="5715"/>
                  <wp:docPr id="5"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1670685"/>
                          </a:xfrm>
                          <a:prstGeom prst="rect">
                            <a:avLst/>
                          </a:prstGeom>
                          <a:noFill/>
                        </pic:spPr>
                      </pic:pic>
                    </a:graphicData>
                  </a:graphic>
                </wp:inline>
              </w:drawing>
            </w:r>
          </w:p>
          <w:p w14:paraId="4D388E8E" w14:textId="77777777" w:rsidR="00323B8C" w:rsidRDefault="00323B8C" w:rsidP="00A128B1">
            <w:pPr>
              <w:rPr>
                <w:rFonts w:ascii="Cambria-Bold" w:hAnsi="Cambria-Bold" w:cs="Cambria-Bold"/>
                <w:b/>
                <w:bCs/>
                <w:color w:val="336868"/>
                <w:sz w:val="72"/>
                <w:szCs w:val="72"/>
                <w:lang w:val="en-US"/>
              </w:rPr>
            </w:pPr>
          </w:p>
          <w:p w14:paraId="0DC1C9B6" w14:textId="77777777" w:rsidR="00323B8C" w:rsidRDefault="00323B8C" w:rsidP="00A128B1">
            <w:pPr>
              <w:rPr>
                <w:rFonts w:ascii="Cambria-Bold" w:hAnsi="Cambria-Bold" w:cs="Cambria-Bold"/>
                <w:b/>
                <w:bCs/>
                <w:color w:val="336868"/>
                <w:sz w:val="72"/>
                <w:szCs w:val="72"/>
                <w:lang w:val="en-US"/>
              </w:rPr>
            </w:pPr>
          </w:p>
        </w:tc>
      </w:tr>
    </w:tbl>
    <w:p w14:paraId="3DC8F7C7" w14:textId="77777777" w:rsidR="00323B8C" w:rsidRDefault="00323B8C" w:rsidP="00323B8C">
      <w:pPr>
        <w:rPr>
          <w:rFonts w:ascii="Cambria-Bold" w:hAnsi="Cambria-Bold" w:cs="Cambria-Bold"/>
          <w:b/>
          <w:bCs/>
          <w:color w:val="336868"/>
          <w:sz w:val="16"/>
          <w:szCs w:val="16"/>
          <w:lang w:val="en-US"/>
        </w:rPr>
      </w:pPr>
    </w:p>
    <w:p w14:paraId="61D66A34" w14:textId="77777777" w:rsidR="00323B8C" w:rsidRDefault="00323B8C" w:rsidP="00323B8C">
      <w:pPr>
        <w:rPr>
          <w:rFonts w:ascii="Cambria-Bold" w:hAnsi="Cambria-Bold" w:cs="Cambria-Bold"/>
          <w:b/>
          <w:bCs/>
          <w:color w:val="336868"/>
          <w:sz w:val="16"/>
          <w:szCs w:val="16"/>
          <w:lang w:val="en-US"/>
        </w:rPr>
      </w:pPr>
    </w:p>
    <w:p w14:paraId="79B52FB8" w14:textId="77777777" w:rsidR="00323B8C" w:rsidRDefault="00323B8C" w:rsidP="00323B8C">
      <w:pPr>
        <w:rPr>
          <w:rFonts w:ascii="Cambria-Bold" w:hAnsi="Cambria-Bold" w:cs="Cambria-Bold"/>
          <w:b/>
          <w:bCs/>
          <w:color w:val="336868"/>
          <w:sz w:val="16"/>
          <w:szCs w:val="16"/>
          <w:lang w:val="en-US"/>
        </w:rPr>
      </w:pPr>
    </w:p>
    <w:p w14:paraId="36F49616" w14:textId="77777777" w:rsidR="00323B8C" w:rsidRDefault="00323B8C" w:rsidP="00323B8C">
      <w:pPr>
        <w:spacing w:before="160"/>
        <w:rPr>
          <w:rFonts w:ascii="Cambria-Bold" w:hAnsi="Cambria-Bold" w:cs="Cambria-Bold"/>
          <w:b/>
          <w:bCs/>
          <w:color w:val="336868"/>
          <w:sz w:val="28"/>
          <w:szCs w:val="28"/>
          <w:lang w:val="en-US"/>
        </w:rPr>
      </w:pPr>
    </w:p>
    <w:p w14:paraId="602EA7BA" w14:textId="77777777" w:rsidR="00323B8C" w:rsidRDefault="00323B8C" w:rsidP="00323B8C">
      <w:pPr>
        <w:spacing w:before="160"/>
        <w:jc w:val="center"/>
        <w:rPr>
          <w:rFonts w:ascii="Cambria-Bold" w:hAnsi="Cambria-Bold" w:cs="Cambria-Bold"/>
          <w:b/>
          <w:bCs/>
          <w:color w:val="336868"/>
          <w:sz w:val="72"/>
          <w:szCs w:val="72"/>
          <w:lang w:val="en-US"/>
        </w:rPr>
      </w:pPr>
      <w:r>
        <w:rPr>
          <w:rFonts w:ascii="Cambria-Bold" w:hAnsi="Cambria-Bold" w:cs="Cambria-Bold"/>
          <w:b/>
          <w:bCs/>
          <w:color w:val="336868"/>
          <w:sz w:val="72"/>
          <w:szCs w:val="72"/>
          <w:lang w:val="en-US"/>
        </w:rPr>
        <w:t>G20 National Remittance Plan 2019</w:t>
      </w:r>
    </w:p>
    <w:p w14:paraId="78E56D53" w14:textId="4E359C93" w:rsidR="00323B8C" w:rsidRDefault="00323B8C" w:rsidP="00323B8C">
      <w:pPr>
        <w:spacing w:before="160"/>
        <w:jc w:val="center"/>
        <w:rPr>
          <w:rFonts w:ascii="Cambria-Bold" w:hAnsi="Cambria-Bold" w:cs="Cambria-Bold"/>
          <w:b/>
          <w:bCs/>
          <w:color w:val="336868"/>
          <w:sz w:val="72"/>
          <w:szCs w:val="72"/>
          <w:lang w:val="en-US"/>
        </w:rPr>
      </w:pPr>
      <w:r>
        <w:rPr>
          <w:rFonts w:ascii="Cambria-Bold" w:hAnsi="Cambria-Bold" w:cs="Cambria-Bold"/>
          <w:b/>
          <w:bCs/>
          <w:color w:val="336868"/>
          <w:sz w:val="72"/>
          <w:szCs w:val="72"/>
          <w:lang w:val="en-US"/>
        </w:rPr>
        <w:t>C</w:t>
      </w:r>
      <w:r>
        <w:rPr>
          <w:rFonts w:ascii="Cambria-Bold" w:hAnsi="Cambria-Bold" w:cs="Cambria-Bold"/>
          <w:b/>
          <w:bCs/>
          <w:color w:val="336868"/>
          <w:sz w:val="72"/>
          <w:szCs w:val="72"/>
          <w:lang w:val="en-US"/>
        </w:rPr>
        <w:t>anada</w:t>
      </w:r>
      <w:r>
        <w:rPr>
          <w:rFonts w:ascii="Cambria-Bold" w:hAnsi="Cambria-Bold" w:cs="Cambria-Bold"/>
          <w:b/>
          <w:bCs/>
          <w:color w:val="336868"/>
          <w:sz w:val="72"/>
          <w:szCs w:val="72"/>
          <w:lang w:val="en-US"/>
        </w:rPr>
        <w:t xml:space="preserve">  </w:t>
      </w:r>
    </w:p>
    <w:tbl>
      <w:tblPr>
        <w:tblStyle w:val="Tablaconcuadrcula"/>
        <w:tblpPr w:leftFromText="142" w:rightFromText="142" w:vertAnchor="text" w:horzAnchor="margin" w:tblpY="188"/>
        <w:tblW w:w="8505" w:type="dxa"/>
        <w:tblBorders>
          <w:top w:val="single" w:sz="24" w:space="0" w:color="AEBEB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323B8C" w14:paraId="57242161" w14:textId="77777777" w:rsidTr="00A128B1">
        <w:trPr>
          <w:trHeight w:val="988"/>
        </w:trPr>
        <w:tc>
          <w:tcPr>
            <w:tcW w:w="8505" w:type="dxa"/>
            <w:tcBorders>
              <w:top w:val="single" w:sz="24" w:space="0" w:color="AEBEBE"/>
              <w:left w:val="nil"/>
              <w:bottom w:val="nil"/>
              <w:right w:val="nil"/>
            </w:tcBorders>
          </w:tcPr>
          <w:p w14:paraId="149FF26E" w14:textId="77777777" w:rsidR="00323B8C" w:rsidRDefault="00323B8C" w:rsidP="00A128B1">
            <w:pPr>
              <w:rPr>
                <w:rFonts w:ascii="Cambria-Bold" w:hAnsi="Cambria-Bold" w:cs="Cambria-Bold"/>
                <w:b/>
                <w:bCs/>
                <w:color w:val="336868"/>
                <w:sz w:val="72"/>
                <w:szCs w:val="72"/>
                <w:lang w:val="en-US"/>
              </w:rPr>
            </w:pPr>
          </w:p>
        </w:tc>
      </w:tr>
    </w:tbl>
    <w:p w14:paraId="202161A7" w14:textId="77777777" w:rsidR="00323B8C" w:rsidRDefault="00323B8C" w:rsidP="00323B8C">
      <w:pPr>
        <w:jc w:val="center"/>
        <w:rPr>
          <w:sz w:val="40"/>
        </w:rPr>
      </w:pPr>
    </w:p>
    <w:p w14:paraId="3BAC0E39" w14:textId="77777777" w:rsidR="00323B8C" w:rsidRDefault="00323B8C" w:rsidP="00323B8C">
      <w:pPr>
        <w:rPr>
          <w:rFonts w:cs="Cambria-Bold"/>
          <w:b/>
          <w:bCs/>
          <w:color w:val="336868"/>
          <w:sz w:val="80"/>
          <w:szCs w:val="80"/>
          <w:lang w:val="en-US"/>
        </w:rPr>
      </w:pPr>
    </w:p>
    <w:p w14:paraId="52AA7048" w14:textId="77777777" w:rsidR="00323B8C" w:rsidRDefault="00323B8C" w:rsidP="00323B8C">
      <w:pPr>
        <w:rPr>
          <w:b/>
          <w:sz w:val="28"/>
          <w:szCs w:val="28"/>
        </w:rPr>
      </w:pPr>
      <w:r w:rsidRPr="00010CD9">
        <w:rPr>
          <w:b/>
          <w:sz w:val="28"/>
          <w:szCs w:val="28"/>
        </w:rPr>
        <w:t xml:space="preserve"> </w:t>
      </w:r>
    </w:p>
    <w:p w14:paraId="6FA2503F" w14:textId="77777777" w:rsidR="00323B8C" w:rsidRDefault="00323B8C" w:rsidP="00323B8C">
      <w:pPr>
        <w:rPr>
          <w:b/>
          <w:sz w:val="28"/>
          <w:szCs w:val="28"/>
        </w:rPr>
        <w:sectPr w:rsidR="00323B8C">
          <w:footerReference w:type="default" r:id="rId9"/>
          <w:pgSz w:w="11906" w:h="16838"/>
          <w:pgMar w:top="1440" w:right="1440" w:bottom="1440" w:left="1440" w:header="708" w:footer="708" w:gutter="0"/>
          <w:cols w:space="708"/>
          <w:docGrid w:linePitch="360"/>
        </w:sectPr>
      </w:pPr>
      <w:r>
        <w:rPr>
          <w:b/>
          <w:sz w:val="28"/>
          <w:szCs w:val="28"/>
        </w:rPr>
        <w:br w:type="page"/>
      </w:r>
    </w:p>
    <w:p w14:paraId="0C4E3587" w14:textId="77777777" w:rsidR="005D3837" w:rsidRDefault="005D3837" w:rsidP="005D3837">
      <w:pPr>
        <w:rPr>
          <w:b/>
          <w:sz w:val="28"/>
          <w:szCs w:val="28"/>
        </w:rPr>
      </w:pPr>
      <w:r w:rsidRPr="00010CD9">
        <w:rPr>
          <w:b/>
          <w:sz w:val="28"/>
          <w:szCs w:val="28"/>
        </w:rPr>
        <w:lastRenderedPageBreak/>
        <w:t>Background</w:t>
      </w:r>
      <w:r w:rsidRPr="00010CD9">
        <w:rPr>
          <w:b/>
          <w:sz w:val="28"/>
          <w:szCs w:val="28"/>
        </w:rPr>
        <w:tab/>
      </w:r>
    </w:p>
    <w:p w14:paraId="46BCE641" w14:textId="77777777" w:rsidR="00686E35" w:rsidRDefault="00686E35" w:rsidP="00686E35">
      <w:pPr>
        <w:pStyle w:val="Textoindependiente"/>
        <w:spacing w:before="157"/>
        <w:ind w:left="100" w:right="117"/>
      </w:pPr>
      <w:r>
        <w:t>In 2018, Canada’s remitters sent USD 5.33 billion abroad (0.3% of GDP) while Canada received USD 1.36 billion in remittances (.08% of GDP) from abroad (World Bank data). Average remittance sending costs in Canada have steadily declined from the recent high of 9.7% in 2014 to 7.7% in 2019 (World Bank data).</w:t>
      </w:r>
    </w:p>
    <w:p w14:paraId="57DA1D22" w14:textId="77777777" w:rsidR="00686E35" w:rsidRDefault="00686E35" w:rsidP="00686E35">
      <w:pPr>
        <w:pStyle w:val="Textoindependiente"/>
        <w:spacing w:before="162"/>
        <w:ind w:left="100" w:right="202"/>
      </w:pPr>
      <w:r>
        <w:t>More than 7.5 million Canadians or 1 in 5 (22%) were born outside of Canada (</w:t>
      </w:r>
      <w:hyperlink r:id="rId10">
        <w:r>
          <w:rPr>
            <w:u w:val="single"/>
          </w:rPr>
          <w:t>Statistics</w:t>
        </w:r>
      </w:hyperlink>
      <w:r>
        <w:rPr>
          <w:u w:val="single"/>
        </w:rPr>
        <w:t xml:space="preserve"> </w:t>
      </w:r>
      <w:hyperlink r:id="rId11">
        <w:r>
          <w:rPr>
            <w:u w:val="single"/>
          </w:rPr>
          <w:t>Canada, 2016 Census</w:t>
        </w:r>
      </w:hyperlink>
      <w:r>
        <w:t>). A study on International Money Transfers from Canada produced by Statistics Canada, as part of the Government of Canada’s GPFI remittance costs reduction commitment, examined remittance related activities of Canadian residents born in a country eligible for Official Development Assistance. The study indicates that in 2017 27.5% of the remittance flows from Canada went to Southeast Asia and Oceania, 22.6% went to Southern Asia, 11.3% to the Americas and 9.7% to Sub-Saharan Africa. The study finds that 9.3% of the remittances sent went to Least Developed Countries, 54.7% to Lower Middle Income Countries and 21.3% to Upper Middle Income countries. The top five destinations of remittances were the Philippines, India, the United States, China and Pakistan (Statistics Canada, 2019).</w:t>
      </w:r>
    </w:p>
    <w:p w14:paraId="659C932A" w14:textId="77777777" w:rsidR="00686E35" w:rsidRDefault="00686E35" w:rsidP="00686E35">
      <w:pPr>
        <w:pStyle w:val="Textoindependiente"/>
        <w:spacing w:before="162"/>
        <w:ind w:left="100" w:right="178"/>
      </w:pPr>
      <w:r>
        <w:t>The study also provides details on the range of remittance costs based on the amount sent. For example, remitters who sent up to $200 paid, on average, 9.4% of the amount remitted, while those who sent $1000 or higher paid 1.6%.</w:t>
      </w:r>
    </w:p>
    <w:p w14:paraId="42C6AF17" w14:textId="77777777" w:rsidR="00686E35" w:rsidRDefault="00686E35" w:rsidP="00686E35">
      <w:pPr>
        <w:pStyle w:val="Textoindependiente"/>
        <w:spacing w:before="159"/>
        <w:ind w:left="100" w:right="227"/>
      </w:pPr>
      <w:r>
        <w:t>Other findings from studies commissioned by the Government of Canada (2015, 2019) indicate that:</w:t>
      </w:r>
    </w:p>
    <w:p w14:paraId="5B37D05B" w14:textId="77777777" w:rsidR="00686E35" w:rsidRDefault="00686E35" w:rsidP="00686E35">
      <w:pPr>
        <w:pStyle w:val="Prrafodelista"/>
        <w:widowControl w:val="0"/>
        <w:numPr>
          <w:ilvl w:val="0"/>
          <w:numId w:val="6"/>
        </w:numPr>
        <w:tabs>
          <w:tab w:val="left" w:pos="821"/>
        </w:tabs>
        <w:autoSpaceDE w:val="0"/>
        <w:autoSpaceDN w:val="0"/>
        <w:spacing w:before="160" w:after="0" w:line="240" w:lineRule="auto"/>
        <w:ind w:right="125"/>
        <w:contextualSpacing w:val="0"/>
      </w:pPr>
      <w:r>
        <w:t>The regulatory and supervisory environment in Canada provides relatively low barriers</w:t>
      </w:r>
      <w:r>
        <w:rPr>
          <w:spacing w:val="-25"/>
        </w:rPr>
        <w:t xml:space="preserve"> </w:t>
      </w:r>
      <w:r>
        <w:t>to entry for remittance service</w:t>
      </w:r>
      <w:r>
        <w:rPr>
          <w:spacing w:val="-10"/>
        </w:rPr>
        <w:t xml:space="preserve"> </w:t>
      </w:r>
      <w:r>
        <w:t>providers;</w:t>
      </w:r>
    </w:p>
    <w:p w14:paraId="07412C72" w14:textId="77777777" w:rsidR="00686E35" w:rsidRDefault="00686E35" w:rsidP="00686E35">
      <w:pPr>
        <w:pStyle w:val="Prrafodelista"/>
        <w:widowControl w:val="0"/>
        <w:numPr>
          <w:ilvl w:val="0"/>
          <w:numId w:val="6"/>
        </w:numPr>
        <w:tabs>
          <w:tab w:val="left" w:pos="821"/>
        </w:tabs>
        <w:autoSpaceDE w:val="0"/>
        <w:autoSpaceDN w:val="0"/>
        <w:spacing w:after="0" w:line="240" w:lineRule="auto"/>
        <w:ind w:right="252"/>
        <w:contextualSpacing w:val="0"/>
      </w:pPr>
      <w:r>
        <w:t>Approximately 70% of all remittance services available in Canada are cash-to-cash and account-to-account products, demonstrating a reliance on transfer methods that are more expensive than innovative tools, such as online or mobile</w:t>
      </w:r>
      <w:r>
        <w:rPr>
          <w:spacing w:val="-18"/>
        </w:rPr>
        <w:t xml:space="preserve"> </w:t>
      </w:r>
      <w:r>
        <w:t>services;</w:t>
      </w:r>
    </w:p>
    <w:p w14:paraId="6A52CEC7" w14:textId="77777777" w:rsidR="00686E35" w:rsidRDefault="00686E35" w:rsidP="00686E35">
      <w:pPr>
        <w:pStyle w:val="Prrafodelista"/>
        <w:widowControl w:val="0"/>
        <w:numPr>
          <w:ilvl w:val="0"/>
          <w:numId w:val="6"/>
        </w:numPr>
        <w:tabs>
          <w:tab w:val="left" w:pos="821"/>
        </w:tabs>
        <w:autoSpaceDE w:val="0"/>
        <w:autoSpaceDN w:val="0"/>
        <w:spacing w:before="1" w:after="0" w:line="240" w:lineRule="auto"/>
        <w:ind w:right="460"/>
        <w:contextualSpacing w:val="0"/>
      </w:pPr>
      <w:r>
        <w:t>Despite the fact that it is much cheaper to remit digitally, 56% of remitters surveyed</w:t>
      </w:r>
      <w:r>
        <w:rPr>
          <w:spacing w:val="-35"/>
        </w:rPr>
        <w:t xml:space="preserve"> </w:t>
      </w:r>
      <w:r>
        <w:t>in the study still went to in-person money transfer stores;</w:t>
      </w:r>
      <w:r>
        <w:rPr>
          <w:spacing w:val="-16"/>
        </w:rPr>
        <w:t xml:space="preserve"> </w:t>
      </w:r>
      <w:r>
        <w:t>and</w:t>
      </w:r>
    </w:p>
    <w:p w14:paraId="05D39F6F" w14:textId="77777777" w:rsidR="00686E35" w:rsidRDefault="00686E35" w:rsidP="00686E35">
      <w:pPr>
        <w:pStyle w:val="Prrafodelista"/>
        <w:widowControl w:val="0"/>
        <w:numPr>
          <w:ilvl w:val="0"/>
          <w:numId w:val="6"/>
        </w:numPr>
        <w:tabs>
          <w:tab w:val="left" w:pos="821"/>
        </w:tabs>
        <w:autoSpaceDE w:val="0"/>
        <w:autoSpaceDN w:val="0"/>
        <w:spacing w:before="1" w:after="0" w:line="240" w:lineRule="auto"/>
        <w:ind w:right="428"/>
        <w:contextualSpacing w:val="0"/>
        <w:jc w:val="both"/>
      </w:pPr>
      <w:r>
        <w:t>When deciding how to send remittances from Canada, 63% of remitters indicated that convenience for the sender and receiver is the most important factor, 16.7% indicated reliability of the method, and 9.4% said that price, was the most important</w:t>
      </w:r>
      <w:r>
        <w:rPr>
          <w:spacing w:val="-21"/>
        </w:rPr>
        <w:t xml:space="preserve"> </w:t>
      </w:r>
      <w:r>
        <w:t>factor.</w:t>
      </w:r>
    </w:p>
    <w:p w14:paraId="26DDE582" w14:textId="77777777" w:rsidR="00350A95" w:rsidRPr="00686E35" w:rsidRDefault="00350A95" w:rsidP="00350A95">
      <w:pPr>
        <w:autoSpaceDE w:val="0"/>
        <w:autoSpaceDN w:val="0"/>
        <w:adjustRightInd w:val="0"/>
        <w:spacing w:after="0" w:line="240" w:lineRule="auto"/>
        <w:rPr>
          <w:rFonts w:cs="Cambria-Bold"/>
          <w:b/>
          <w:bCs/>
          <w:color w:val="2E74B5" w:themeColor="accent1" w:themeShade="BF"/>
          <w:sz w:val="24"/>
          <w:szCs w:val="80"/>
        </w:rPr>
      </w:pPr>
    </w:p>
    <w:p w14:paraId="4B0AD1F4" w14:textId="79255C6C" w:rsidR="005D3837" w:rsidRDefault="005D3837" w:rsidP="00686E35">
      <w:pPr>
        <w:pStyle w:val="Textoindependiente"/>
        <w:spacing w:before="183"/>
        <w:ind w:left="100" w:right="178"/>
      </w:pPr>
      <w:r w:rsidRPr="00010CD9">
        <w:rPr>
          <w:b/>
          <w:sz w:val="28"/>
          <w:szCs w:val="28"/>
        </w:rPr>
        <w:t>Call to Action on Remittances</w:t>
      </w:r>
      <w:r w:rsidRPr="00010CD9">
        <w:rPr>
          <w:b/>
          <w:sz w:val="28"/>
          <w:szCs w:val="28"/>
        </w:rPr>
        <w:tab/>
      </w:r>
    </w:p>
    <w:p w14:paraId="2F9FFB51" w14:textId="77777777" w:rsidR="00686E35" w:rsidRDefault="00686E35" w:rsidP="00686E35">
      <w:pPr>
        <w:pStyle w:val="Textoindependiente"/>
        <w:spacing w:before="183"/>
        <w:ind w:left="100" w:right="178"/>
      </w:pPr>
      <w:r>
        <w:t>While the cost of remittances in Canada has fallen over the last decade to 2019, the Government is committed to further lowering the costs Canadians incur when sending money abroad—to an average of 5 per cent by 2022 and 3 per cent by 2030, consistent with Canada’s G20/GPFI commitment and Sustainable Development Goal (SDG) 10.</w:t>
      </w:r>
    </w:p>
    <w:p w14:paraId="6F0B79B7" w14:textId="77777777" w:rsidR="00686E35" w:rsidRDefault="00686E35" w:rsidP="00686E35">
      <w:pPr>
        <w:pStyle w:val="Textoindependiente"/>
        <w:ind w:left="100" w:right="129"/>
      </w:pPr>
      <w:r>
        <w:t>Since the initial Call to Action on Remittances in 2014 Canada has commissioned two studies: “</w:t>
      </w:r>
      <w:hyperlink r:id="rId12">
        <w:r>
          <w:rPr>
            <w:color w:val="0000FF"/>
            <w:u w:val="single" w:color="0000FF"/>
          </w:rPr>
          <w:t>Study on International Money Transfers from Canada</w:t>
        </w:r>
      </w:hyperlink>
      <w:r>
        <w:t>,” 2019; and “Designing Innovative Financing Mechanisms to Reduce the Cost of Sending Remittances from Canada to Developing Countries,” 2015.</w:t>
      </w:r>
    </w:p>
    <w:p w14:paraId="68E7804D" w14:textId="77777777" w:rsidR="00686E35" w:rsidRDefault="00686E35" w:rsidP="00686E35">
      <w:pPr>
        <w:pStyle w:val="Textoindependiente"/>
        <w:ind w:left="100" w:right="129"/>
      </w:pPr>
      <w:r>
        <w:t>The studies have enabled the Government of Canada to more fully understand remittance dynamics and to inform Canada’s initiatives to reduce remittance costs, especially to developing countries.</w:t>
      </w:r>
    </w:p>
    <w:p w14:paraId="5BEBB27B" w14:textId="77777777" w:rsidR="00686E35" w:rsidRDefault="00686E35" w:rsidP="00686E35">
      <w:pPr>
        <w:pStyle w:val="Textoindependiente"/>
        <w:ind w:left="100" w:right="301"/>
      </w:pPr>
      <w:r>
        <w:lastRenderedPageBreak/>
        <w:t>Since 2014, various market-based solutions have appeared online to help consumers choose among a variety of Remittances Services Providers (RSP) based on the total cost of their transaction, helping to increase transparency in the remittance market. At the same time, Canada has been discussing how to improve remittance market competitiveness with financial institutions.</w:t>
      </w:r>
    </w:p>
    <w:p w14:paraId="165EF396" w14:textId="77777777" w:rsidR="00686E35" w:rsidRDefault="00686E35" w:rsidP="00686E35">
      <w:pPr>
        <w:pStyle w:val="Textoindependiente"/>
        <w:ind w:left="100" w:right="636"/>
        <w:jc w:val="both"/>
      </w:pPr>
      <w:r>
        <w:t>In this context, the Government of Canada is reviewing options, from both user and service provider perspectives, on the best way forward to enable Canadian remitters to make more informed and cost effective decisions about the services they use to transfer funds.</w:t>
      </w:r>
    </w:p>
    <w:p w14:paraId="38EFA964" w14:textId="77777777" w:rsidR="00350A95" w:rsidRPr="003B0A1A" w:rsidRDefault="00350A95" w:rsidP="00350A95">
      <w:pPr>
        <w:autoSpaceDE w:val="0"/>
        <w:autoSpaceDN w:val="0"/>
        <w:adjustRightInd w:val="0"/>
        <w:spacing w:after="0" w:line="240" w:lineRule="auto"/>
        <w:rPr>
          <w:rFonts w:cs="Cambria-Bold"/>
          <w:b/>
          <w:bCs/>
          <w:color w:val="2E74B5" w:themeColor="accent1" w:themeShade="BF"/>
          <w:sz w:val="24"/>
          <w:szCs w:val="80"/>
          <w:lang w:val="en-US"/>
        </w:rPr>
      </w:pPr>
    </w:p>
    <w:p w14:paraId="184DB663" w14:textId="77777777" w:rsidR="005D3837" w:rsidRDefault="005D3837" w:rsidP="005D3837">
      <w:pPr>
        <w:rPr>
          <w:b/>
          <w:sz w:val="28"/>
          <w:szCs w:val="28"/>
        </w:rPr>
      </w:pPr>
      <w:r w:rsidRPr="00010CD9">
        <w:rPr>
          <w:b/>
          <w:sz w:val="28"/>
          <w:szCs w:val="28"/>
        </w:rPr>
        <w:t>2019 Country plan for reducing remittance transfer costs</w:t>
      </w:r>
    </w:p>
    <w:p w14:paraId="1E1E6FB5" w14:textId="01B7A49F" w:rsidR="00323B8C" w:rsidRDefault="00323B8C" w:rsidP="00323B8C">
      <w:pPr>
        <w:pStyle w:val="Prrafodelista"/>
        <w:widowControl w:val="0"/>
        <w:numPr>
          <w:ilvl w:val="0"/>
          <w:numId w:val="8"/>
        </w:numPr>
        <w:tabs>
          <w:tab w:val="left" w:pos="461"/>
        </w:tabs>
        <w:autoSpaceDE w:val="0"/>
        <w:autoSpaceDN w:val="0"/>
        <w:spacing w:before="184" w:after="0" w:line="256" w:lineRule="auto"/>
        <w:ind w:right="399"/>
        <w:contextualSpacing w:val="0"/>
        <w:rPr>
          <w:b/>
        </w:rPr>
      </w:pPr>
      <w:bookmarkStart w:id="0" w:name="_GoBack"/>
      <w:bookmarkEnd w:id="0"/>
      <w:r>
        <w:rPr>
          <w:b/>
        </w:rPr>
        <w:t>Increase remittance market competiveness, including through improvements to the regulatory</w:t>
      </w:r>
      <w:r>
        <w:rPr>
          <w:b/>
          <w:spacing w:val="-4"/>
        </w:rPr>
        <w:t xml:space="preserve"> </w:t>
      </w:r>
      <w:r>
        <w:rPr>
          <w:b/>
        </w:rPr>
        <w:t>environment:</w:t>
      </w:r>
    </w:p>
    <w:p w14:paraId="10B023D6" w14:textId="77777777" w:rsidR="00323B8C" w:rsidRDefault="00323B8C" w:rsidP="00323B8C">
      <w:pPr>
        <w:pStyle w:val="Textoindependiente"/>
        <w:rPr>
          <w:b/>
          <w:sz w:val="24"/>
        </w:rPr>
      </w:pPr>
    </w:p>
    <w:p w14:paraId="505B7B3E" w14:textId="77777777" w:rsidR="00323B8C" w:rsidRDefault="00323B8C" w:rsidP="00323B8C">
      <w:pPr>
        <w:pStyle w:val="Textoindependiente"/>
        <w:spacing w:before="164" w:line="256" w:lineRule="auto"/>
        <w:ind w:left="100" w:right="203"/>
      </w:pPr>
      <w:r>
        <w:t>Privately operated websites have emerged in Canada to help bring greater transparency to remittance costs, with some remittance service providers having now adopted flat transfer fees.</w:t>
      </w:r>
    </w:p>
    <w:p w14:paraId="24930C44" w14:textId="77777777" w:rsidR="00323B8C" w:rsidRDefault="00323B8C" w:rsidP="00323B8C">
      <w:pPr>
        <w:pStyle w:val="Textoindependiente"/>
        <w:spacing w:before="80" w:line="256" w:lineRule="auto"/>
        <w:ind w:left="100" w:right="997"/>
      </w:pPr>
      <w:r>
        <w:t>The Government of Canada is studying what further steps can be taken to increase the transparency of, and competition in, the remittance market.</w:t>
      </w:r>
    </w:p>
    <w:p w14:paraId="384A560F" w14:textId="77777777" w:rsidR="00323B8C" w:rsidRDefault="00323B8C" w:rsidP="00323B8C">
      <w:pPr>
        <w:pStyle w:val="Textoindependiente"/>
        <w:rPr>
          <w:sz w:val="24"/>
        </w:rPr>
      </w:pPr>
    </w:p>
    <w:p w14:paraId="16D4509F" w14:textId="77777777" w:rsidR="00323B8C" w:rsidRDefault="00323B8C" w:rsidP="00323B8C">
      <w:pPr>
        <w:pStyle w:val="Ttulo1"/>
        <w:numPr>
          <w:ilvl w:val="0"/>
          <w:numId w:val="8"/>
        </w:numPr>
        <w:tabs>
          <w:tab w:val="left" w:pos="461"/>
        </w:tabs>
        <w:spacing w:before="159" w:line="259" w:lineRule="auto"/>
        <w:ind w:right="241"/>
      </w:pPr>
      <w:r>
        <w:t>Improve financial system Infrastructure and pursue policies conducive to supporting innovation and harnessing emerging</w:t>
      </w:r>
      <w:r>
        <w:rPr>
          <w:spacing w:val="-12"/>
        </w:rPr>
        <w:t xml:space="preserve"> </w:t>
      </w:r>
      <w:r>
        <w:t>technologies:</w:t>
      </w:r>
    </w:p>
    <w:p w14:paraId="6A25AF10" w14:textId="77777777" w:rsidR="00323B8C" w:rsidRDefault="00323B8C" w:rsidP="00323B8C">
      <w:pPr>
        <w:pStyle w:val="Textoindependiente"/>
        <w:rPr>
          <w:b/>
          <w:sz w:val="24"/>
        </w:rPr>
      </w:pPr>
    </w:p>
    <w:p w14:paraId="42B9E7B5" w14:textId="77777777" w:rsidR="00323B8C" w:rsidRDefault="00323B8C" w:rsidP="00323B8C">
      <w:pPr>
        <w:pStyle w:val="Textoindependiente"/>
        <w:spacing w:before="159"/>
        <w:ind w:left="100" w:right="117"/>
      </w:pPr>
      <w:r>
        <w:t>The 2019 Canadian Federal Budget included a commitment to support innovation and competition in the remittance market, by holding targeted consultations to explore new ways to facilitate payments system access arrangements for remittance service providers in the context of Canada’s implementation of the proposed retail payments oversight framework (see section 3 below).</w:t>
      </w:r>
    </w:p>
    <w:p w14:paraId="63237845" w14:textId="77777777" w:rsidR="00323B8C" w:rsidRDefault="00323B8C" w:rsidP="00323B8C">
      <w:pPr>
        <w:pStyle w:val="Textoindependiente"/>
        <w:spacing w:before="10"/>
        <w:rPr>
          <w:sz w:val="28"/>
        </w:rPr>
      </w:pPr>
    </w:p>
    <w:p w14:paraId="62C9D9FD" w14:textId="77777777" w:rsidR="00323B8C" w:rsidRDefault="00323B8C" w:rsidP="00323B8C">
      <w:pPr>
        <w:pStyle w:val="Ttulo1"/>
        <w:numPr>
          <w:ilvl w:val="0"/>
          <w:numId w:val="8"/>
        </w:numPr>
        <w:tabs>
          <w:tab w:val="left" w:pos="358"/>
        </w:tabs>
        <w:spacing w:before="1"/>
        <w:ind w:left="357" w:hanging="257"/>
      </w:pPr>
      <w:r>
        <w:t>Improve transparency and consumer protection of remittance</w:t>
      </w:r>
      <w:r>
        <w:rPr>
          <w:spacing w:val="-10"/>
        </w:rPr>
        <w:t xml:space="preserve"> </w:t>
      </w:r>
      <w:r>
        <w:t>transfers:</w:t>
      </w:r>
    </w:p>
    <w:p w14:paraId="74BCA077" w14:textId="77777777" w:rsidR="00323B8C" w:rsidRDefault="00323B8C" w:rsidP="00323B8C">
      <w:pPr>
        <w:pStyle w:val="Prrafodelista"/>
        <w:widowControl w:val="0"/>
        <w:numPr>
          <w:ilvl w:val="0"/>
          <w:numId w:val="7"/>
        </w:numPr>
        <w:tabs>
          <w:tab w:val="left" w:pos="461"/>
        </w:tabs>
        <w:autoSpaceDE w:val="0"/>
        <w:autoSpaceDN w:val="0"/>
        <w:spacing w:before="184" w:after="0"/>
        <w:ind w:right="131"/>
        <w:contextualSpacing w:val="0"/>
      </w:pPr>
      <w:r>
        <w:t>The 2019 Canadian Federal Budget proposed the development of a new retail payments oversight framework that would require non-federally regulated payment service providers (including remittance service providers) to protect users’ funds against losses. The Bank of Canada would oversee the payment service providers’ compliance with operational and financial requirements and maintain a public registry of regulated payment service</w:t>
      </w:r>
      <w:r>
        <w:rPr>
          <w:spacing w:val="-31"/>
        </w:rPr>
        <w:t xml:space="preserve"> </w:t>
      </w:r>
      <w:r>
        <w:t>providers.</w:t>
      </w:r>
    </w:p>
    <w:p w14:paraId="0364E21B" w14:textId="77777777" w:rsidR="00323B8C" w:rsidRDefault="00323B8C" w:rsidP="00323B8C">
      <w:pPr>
        <w:pStyle w:val="Textoindependiente"/>
        <w:spacing w:before="10"/>
        <w:rPr>
          <w:sz w:val="23"/>
        </w:rPr>
      </w:pPr>
    </w:p>
    <w:p w14:paraId="5A8C8AA7" w14:textId="086F8B42" w:rsidR="00D931E0" w:rsidRPr="00323B8C" w:rsidRDefault="00323B8C" w:rsidP="00323B8C">
      <w:pPr>
        <w:pStyle w:val="Prrafodelista"/>
        <w:widowControl w:val="0"/>
        <w:numPr>
          <w:ilvl w:val="0"/>
          <w:numId w:val="7"/>
        </w:numPr>
        <w:tabs>
          <w:tab w:val="left" w:pos="461"/>
        </w:tabs>
        <w:autoSpaceDE w:val="0"/>
        <w:autoSpaceDN w:val="0"/>
        <w:spacing w:after="0"/>
        <w:ind w:right="124"/>
        <w:contextualSpacing w:val="0"/>
      </w:pPr>
      <w:r>
        <w:t xml:space="preserve">In April 2019, Statistics Canada released a Global Affairs Canada commissioned study of international money transfers by Canadian residents born in ODA eligible countries (some findings from the study are available in the background section above and the study can be </w:t>
      </w:r>
      <w:hyperlink r:id="rId13">
        <w:r>
          <w:rPr>
            <w:color w:val="0000FF"/>
            <w:u w:val="single" w:color="0000FF"/>
          </w:rPr>
          <w:t>accessed online</w:t>
        </w:r>
      </w:hyperlink>
      <w:r>
        <w:t>). Study findings are currently being analyzed and will be used to inform evidence-based policy and programming that would facilitate safer, more reliable, and lower- cost remittances from Canada that contribute to improved development outcomes and reaching the</w:t>
      </w:r>
      <w:r>
        <w:rPr>
          <w:spacing w:val="-4"/>
        </w:rPr>
        <w:t xml:space="preserve"> </w:t>
      </w:r>
      <w:r>
        <w:t>SDGs.</w:t>
      </w:r>
    </w:p>
    <w:sectPr w:rsidR="00D931E0" w:rsidRPr="00323B8C" w:rsidSect="00270724">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E264D" w14:textId="77777777" w:rsidR="000C017E" w:rsidRDefault="000C017E" w:rsidP="00F5639D">
      <w:pPr>
        <w:spacing w:after="0" w:line="240" w:lineRule="auto"/>
      </w:pPr>
      <w:r>
        <w:separator/>
      </w:r>
    </w:p>
  </w:endnote>
  <w:endnote w:type="continuationSeparator" w:id="0">
    <w:p w14:paraId="1787D8C7" w14:textId="77777777" w:rsidR="000C017E" w:rsidRDefault="000C017E" w:rsidP="00F5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6D71" w14:textId="77777777" w:rsidR="00323B8C" w:rsidRDefault="00323B8C">
    <w:pPr>
      <w:pStyle w:val="Piedepgina"/>
      <w:jc w:val="right"/>
    </w:pPr>
  </w:p>
  <w:p w14:paraId="2F9C6A95" w14:textId="77777777" w:rsidR="00323B8C" w:rsidRDefault="00323B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DFB0" w14:textId="77777777" w:rsidR="000C017E" w:rsidRDefault="000C017E" w:rsidP="00F5639D">
      <w:pPr>
        <w:spacing w:after="0" w:line="240" w:lineRule="auto"/>
      </w:pPr>
      <w:r>
        <w:separator/>
      </w:r>
    </w:p>
  </w:footnote>
  <w:footnote w:type="continuationSeparator" w:id="0">
    <w:p w14:paraId="7C4E5E97" w14:textId="77777777" w:rsidR="000C017E" w:rsidRDefault="000C017E" w:rsidP="00F56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51E5" w14:textId="0B98FC28" w:rsidR="00270724" w:rsidRDefault="00270724" w:rsidP="00270724">
    <w:pPr>
      <w:pStyle w:val="Encabezado"/>
    </w:pPr>
  </w:p>
  <w:p w14:paraId="2E6C90B0" w14:textId="77777777" w:rsidR="00F5639D" w:rsidRDefault="00F5639D" w:rsidP="00F5639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D93"/>
    <w:multiLevelType w:val="hybridMultilevel"/>
    <w:tmpl w:val="9E465C02"/>
    <w:lvl w:ilvl="0" w:tplc="041F000B">
      <w:start w:val="1"/>
      <w:numFmt w:val="bullet"/>
      <w:lvlText w:val=""/>
      <w:lvlJc w:val="left"/>
      <w:pPr>
        <w:tabs>
          <w:tab w:val="num" w:pos="720"/>
        </w:tabs>
        <w:ind w:left="720" w:hanging="360"/>
      </w:pPr>
      <w:rPr>
        <w:rFonts w:ascii="Wingdings" w:hAnsi="Wingdings" w:hint="default"/>
        <w:color w:val="auto"/>
      </w:rPr>
    </w:lvl>
    <w:lvl w:ilvl="1" w:tplc="5B343FB6" w:tentative="1">
      <w:start w:val="1"/>
      <w:numFmt w:val="bullet"/>
      <w:lvlText w:val=""/>
      <w:lvlJc w:val="left"/>
      <w:pPr>
        <w:tabs>
          <w:tab w:val="num" w:pos="1440"/>
        </w:tabs>
        <w:ind w:left="1440" w:hanging="360"/>
      </w:pPr>
      <w:rPr>
        <w:rFonts w:ascii="Symbol" w:hAnsi="Symbol" w:hint="default"/>
      </w:rPr>
    </w:lvl>
    <w:lvl w:ilvl="2" w:tplc="9CC2527C" w:tentative="1">
      <w:start w:val="1"/>
      <w:numFmt w:val="bullet"/>
      <w:lvlText w:val=""/>
      <w:lvlJc w:val="left"/>
      <w:pPr>
        <w:tabs>
          <w:tab w:val="num" w:pos="2160"/>
        </w:tabs>
        <w:ind w:left="2160" w:hanging="360"/>
      </w:pPr>
      <w:rPr>
        <w:rFonts w:ascii="Symbol" w:hAnsi="Symbol" w:hint="default"/>
      </w:rPr>
    </w:lvl>
    <w:lvl w:ilvl="3" w:tplc="AEDEE61A" w:tentative="1">
      <w:start w:val="1"/>
      <w:numFmt w:val="bullet"/>
      <w:lvlText w:val=""/>
      <w:lvlJc w:val="left"/>
      <w:pPr>
        <w:tabs>
          <w:tab w:val="num" w:pos="2880"/>
        </w:tabs>
        <w:ind w:left="2880" w:hanging="360"/>
      </w:pPr>
      <w:rPr>
        <w:rFonts w:ascii="Symbol" w:hAnsi="Symbol" w:hint="default"/>
      </w:rPr>
    </w:lvl>
    <w:lvl w:ilvl="4" w:tplc="2AE4DCEE" w:tentative="1">
      <w:start w:val="1"/>
      <w:numFmt w:val="bullet"/>
      <w:lvlText w:val=""/>
      <w:lvlJc w:val="left"/>
      <w:pPr>
        <w:tabs>
          <w:tab w:val="num" w:pos="3600"/>
        </w:tabs>
        <w:ind w:left="3600" w:hanging="360"/>
      </w:pPr>
      <w:rPr>
        <w:rFonts w:ascii="Symbol" w:hAnsi="Symbol" w:hint="default"/>
      </w:rPr>
    </w:lvl>
    <w:lvl w:ilvl="5" w:tplc="51463A7A" w:tentative="1">
      <w:start w:val="1"/>
      <w:numFmt w:val="bullet"/>
      <w:lvlText w:val=""/>
      <w:lvlJc w:val="left"/>
      <w:pPr>
        <w:tabs>
          <w:tab w:val="num" w:pos="4320"/>
        </w:tabs>
        <w:ind w:left="4320" w:hanging="360"/>
      </w:pPr>
      <w:rPr>
        <w:rFonts w:ascii="Symbol" w:hAnsi="Symbol" w:hint="default"/>
      </w:rPr>
    </w:lvl>
    <w:lvl w:ilvl="6" w:tplc="C3FE8A7A" w:tentative="1">
      <w:start w:val="1"/>
      <w:numFmt w:val="bullet"/>
      <w:lvlText w:val=""/>
      <w:lvlJc w:val="left"/>
      <w:pPr>
        <w:tabs>
          <w:tab w:val="num" w:pos="5040"/>
        </w:tabs>
        <w:ind w:left="5040" w:hanging="360"/>
      </w:pPr>
      <w:rPr>
        <w:rFonts w:ascii="Symbol" w:hAnsi="Symbol" w:hint="default"/>
      </w:rPr>
    </w:lvl>
    <w:lvl w:ilvl="7" w:tplc="129C3574" w:tentative="1">
      <w:start w:val="1"/>
      <w:numFmt w:val="bullet"/>
      <w:lvlText w:val=""/>
      <w:lvlJc w:val="left"/>
      <w:pPr>
        <w:tabs>
          <w:tab w:val="num" w:pos="5760"/>
        </w:tabs>
        <w:ind w:left="5760" w:hanging="360"/>
      </w:pPr>
      <w:rPr>
        <w:rFonts w:ascii="Symbol" w:hAnsi="Symbol" w:hint="default"/>
      </w:rPr>
    </w:lvl>
    <w:lvl w:ilvl="8" w:tplc="F60267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207F50"/>
    <w:multiLevelType w:val="hybridMultilevel"/>
    <w:tmpl w:val="E39206A6"/>
    <w:lvl w:ilvl="0" w:tplc="4DC028A6">
      <w:start w:val="1"/>
      <w:numFmt w:val="decimal"/>
      <w:lvlText w:val="%1)"/>
      <w:lvlJc w:val="left"/>
      <w:pPr>
        <w:ind w:left="460" w:hanging="360"/>
        <w:jc w:val="left"/>
      </w:pPr>
      <w:rPr>
        <w:rFonts w:ascii="Arial" w:eastAsia="Arial" w:hAnsi="Arial" w:cs="Arial" w:hint="default"/>
        <w:b/>
        <w:bCs/>
        <w:spacing w:val="-1"/>
        <w:w w:val="100"/>
        <w:sz w:val="22"/>
        <w:szCs w:val="22"/>
      </w:rPr>
    </w:lvl>
    <w:lvl w:ilvl="1" w:tplc="BDA4E7C0">
      <w:numFmt w:val="bullet"/>
      <w:lvlText w:val="•"/>
      <w:lvlJc w:val="left"/>
      <w:pPr>
        <w:ind w:left="1372" w:hanging="360"/>
      </w:pPr>
      <w:rPr>
        <w:rFonts w:hint="default"/>
      </w:rPr>
    </w:lvl>
    <w:lvl w:ilvl="2" w:tplc="395258C8">
      <w:numFmt w:val="bullet"/>
      <w:lvlText w:val="•"/>
      <w:lvlJc w:val="left"/>
      <w:pPr>
        <w:ind w:left="2284" w:hanging="360"/>
      </w:pPr>
      <w:rPr>
        <w:rFonts w:hint="default"/>
      </w:rPr>
    </w:lvl>
    <w:lvl w:ilvl="3" w:tplc="52C83DCC">
      <w:numFmt w:val="bullet"/>
      <w:lvlText w:val="•"/>
      <w:lvlJc w:val="left"/>
      <w:pPr>
        <w:ind w:left="3196" w:hanging="360"/>
      </w:pPr>
      <w:rPr>
        <w:rFonts w:hint="default"/>
      </w:rPr>
    </w:lvl>
    <w:lvl w:ilvl="4" w:tplc="4D5A0584">
      <w:numFmt w:val="bullet"/>
      <w:lvlText w:val="•"/>
      <w:lvlJc w:val="left"/>
      <w:pPr>
        <w:ind w:left="4108" w:hanging="360"/>
      </w:pPr>
      <w:rPr>
        <w:rFonts w:hint="default"/>
      </w:rPr>
    </w:lvl>
    <w:lvl w:ilvl="5" w:tplc="D540860E">
      <w:numFmt w:val="bullet"/>
      <w:lvlText w:val="•"/>
      <w:lvlJc w:val="left"/>
      <w:pPr>
        <w:ind w:left="5020" w:hanging="360"/>
      </w:pPr>
      <w:rPr>
        <w:rFonts w:hint="default"/>
      </w:rPr>
    </w:lvl>
    <w:lvl w:ilvl="6" w:tplc="276E01D0">
      <w:numFmt w:val="bullet"/>
      <w:lvlText w:val="•"/>
      <w:lvlJc w:val="left"/>
      <w:pPr>
        <w:ind w:left="5932" w:hanging="360"/>
      </w:pPr>
      <w:rPr>
        <w:rFonts w:hint="default"/>
      </w:rPr>
    </w:lvl>
    <w:lvl w:ilvl="7" w:tplc="D7EE7558">
      <w:numFmt w:val="bullet"/>
      <w:lvlText w:val="•"/>
      <w:lvlJc w:val="left"/>
      <w:pPr>
        <w:ind w:left="6844" w:hanging="360"/>
      </w:pPr>
      <w:rPr>
        <w:rFonts w:hint="default"/>
      </w:rPr>
    </w:lvl>
    <w:lvl w:ilvl="8" w:tplc="20F26048">
      <w:numFmt w:val="bullet"/>
      <w:lvlText w:val="•"/>
      <w:lvlJc w:val="left"/>
      <w:pPr>
        <w:ind w:left="7756" w:hanging="360"/>
      </w:pPr>
      <w:rPr>
        <w:rFonts w:hint="default"/>
      </w:rPr>
    </w:lvl>
  </w:abstractNum>
  <w:abstractNum w:abstractNumId="2" w15:restartNumberingAfterBreak="0">
    <w:nsid w:val="0C391FD4"/>
    <w:multiLevelType w:val="hybridMultilevel"/>
    <w:tmpl w:val="8E9800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5F28"/>
    <w:multiLevelType w:val="hybridMultilevel"/>
    <w:tmpl w:val="8C38B72A"/>
    <w:lvl w:ilvl="0" w:tplc="63FAF188">
      <w:numFmt w:val="bullet"/>
      <w:lvlText w:val=""/>
      <w:lvlJc w:val="left"/>
      <w:pPr>
        <w:ind w:left="460" w:hanging="360"/>
      </w:pPr>
      <w:rPr>
        <w:rFonts w:ascii="Wingdings" w:eastAsia="Wingdings" w:hAnsi="Wingdings" w:cs="Wingdings" w:hint="default"/>
        <w:w w:val="100"/>
        <w:sz w:val="22"/>
        <w:szCs w:val="22"/>
      </w:rPr>
    </w:lvl>
    <w:lvl w:ilvl="1" w:tplc="708AB9D2">
      <w:numFmt w:val="bullet"/>
      <w:lvlText w:val="•"/>
      <w:lvlJc w:val="left"/>
      <w:pPr>
        <w:ind w:left="1372" w:hanging="360"/>
      </w:pPr>
      <w:rPr>
        <w:rFonts w:hint="default"/>
      </w:rPr>
    </w:lvl>
    <w:lvl w:ilvl="2" w:tplc="3A2AEB5E">
      <w:numFmt w:val="bullet"/>
      <w:lvlText w:val="•"/>
      <w:lvlJc w:val="left"/>
      <w:pPr>
        <w:ind w:left="2284" w:hanging="360"/>
      </w:pPr>
      <w:rPr>
        <w:rFonts w:hint="default"/>
      </w:rPr>
    </w:lvl>
    <w:lvl w:ilvl="3" w:tplc="3B523E44">
      <w:numFmt w:val="bullet"/>
      <w:lvlText w:val="•"/>
      <w:lvlJc w:val="left"/>
      <w:pPr>
        <w:ind w:left="3196" w:hanging="360"/>
      </w:pPr>
      <w:rPr>
        <w:rFonts w:hint="default"/>
      </w:rPr>
    </w:lvl>
    <w:lvl w:ilvl="4" w:tplc="09705F1E">
      <w:numFmt w:val="bullet"/>
      <w:lvlText w:val="•"/>
      <w:lvlJc w:val="left"/>
      <w:pPr>
        <w:ind w:left="4108" w:hanging="360"/>
      </w:pPr>
      <w:rPr>
        <w:rFonts w:hint="default"/>
      </w:rPr>
    </w:lvl>
    <w:lvl w:ilvl="5" w:tplc="9F9473AC">
      <w:numFmt w:val="bullet"/>
      <w:lvlText w:val="•"/>
      <w:lvlJc w:val="left"/>
      <w:pPr>
        <w:ind w:left="5020" w:hanging="360"/>
      </w:pPr>
      <w:rPr>
        <w:rFonts w:hint="default"/>
      </w:rPr>
    </w:lvl>
    <w:lvl w:ilvl="6" w:tplc="EB06EBB6">
      <w:numFmt w:val="bullet"/>
      <w:lvlText w:val="•"/>
      <w:lvlJc w:val="left"/>
      <w:pPr>
        <w:ind w:left="5932" w:hanging="360"/>
      </w:pPr>
      <w:rPr>
        <w:rFonts w:hint="default"/>
      </w:rPr>
    </w:lvl>
    <w:lvl w:ilvl="7" w:tplc="6BC4D904">
      <w:numFmt w:val="bullet"/>
      <w:lvlText w:val="•"/>
      <w:lvlJc w:val="left"/>
      <w:pPr>
        <w:ind w:left="6844" w:hanging="360"/>
      </w:pPr>
      <w:rPr>
        <w:rFonts w:hint="default"/>
      </w:rPr>
    </w:lvl>
    <w:lvl w:ilvl="8" w:tplc="0316BA20">
      <w:numFmt w:val="bullet"/>
      <w:lvlText w:val="•"/>
      <w:lvlJc w:val="left"/>
      <w:pPr>
        <w:ind w:left="7756" w:hanging="360"/>
      </w:pPr>
      <w:rPr>
        <w:rFonts w:hint="default"/>
      </w:rPr>
    </w:lvl>
  </w:abstractNum>
  <w:abstractNum w:abstractNumId="4" w15:restartNumberingAfterBreak="0">
    <w:nsid w:val="1AA905BF"/>
    <w:multiLevelType w:val="hybridMultilevel"/>
    <w:tmpl w:val="2DB6E42A"/>
    <w:lvl w:ilvl="0" w:tplc="9DA44844">
      <w:numFmt w:val="bullet"/>
      <w:lvlText w:val=""/>
      <w:lvlJc w:val="left"/>
      <w:pPr>
        <w:ind w:left="820" w:hanging="360"/>
      </w:pPr>
      <w:rPr>
        <w:rFonts w:ascii="Wingdings" w:eastAsia="Wingdings" w:hAnsi="Wingdings" w:cs="Wingdings" w:hint="default"/>
        <w:w w:val="100"/>
        <w:sz w:val="22"/>
        <w:szCs w:val="22"/>
      </w:rPr>
    </w:lvl>
    <w:lvl w:ilvl="1" w:tplc="B9B4E64E">
      <w:numFmt w:val="bullet"/>
      <w:lvlText w:val="•"/>
      <w:lvlJc w:val="left"/>
      <w:pPr>
        <w:ind w:left="1696" w:hanging="360"/>
      </w:pPr>
      <w:rPr>
        <w:rFonts w:hint="default"/>
      </w:rPr>
    </w:lvl>
    <w:lvl w:ilvl="2" w:tplc="047457CC">
      <w:numFmt w:val="bullet"/>
      <w:lvlText w:val="•"/>
      <w:lvlJc w:val="left"/>
      <w:pPr>
        <w:ind w:left="2572" w:hanging="360"/>
      </w:pPr>
      <w:rPr>
        <w:rFonts w:hint="default"/>
      </w:rPr>
    </w:lvl>
    <w:lvl w:ilvl="3" w:tplc="C63677F2">
      <w:numFmt w:val="bullet"/>
      <w:lvlText w:val="•"/>
      <w:lvlJc w:val="left"/>
      <w:pPr>
        <w:ind w:left="3448" w:hanging="360"/>
      </w:pPr>
      <w:rPr>
        <w:rFonts w:hint="default"/>
      </w:rPr>
    </w:lvl>
    <w:lvl w:ilvl="4" w:tplc="E7A8CCC4">
      <w:numFmt w:val="bullet"/>
      <w:lvlText w:val="•"/>
      <w:lvlJc w:val="left"/>
      <w:pPr>
        <w:ind w:left="4324" w:hanging="360"/>
      </w:pPr>
      <w:rPr>
        <w:rFonts w:hint="default"/>
      </w:rPr>
    </w:lvl>
    <w:lvl w:ilvl="5" w:tplc="F378CC74">
      <w:numFmt w:val="bullet"/>
      <w:lvlText w:val="•"/>
      <w:lvlJc w:val="left"/>
      <w:pPr>
        <w:ind w:left="5200" w:hanging="360"/>
      </w:pPr>
      <w:rPr>
        <w:rFonts w:hint="default"/>
      </w:rPr>
    </w:lvl>
    <w:lvl w:ilvl="6" w:tplc="3C5CE10C">
      <w:numFmt w:val="bullet"/>
      <w:lvlText w:val="•"/>
      <w:lvlJc w:val="left"/>
      <w:pPr>
        <w:ind w:left="6076" w:hanging="360"/>
      </w:pPr>
      <w:rPr>
        <w:rFonts w:hint="default"/>
      </w:rPr>
    </w:lvl>
    <w:lvl w:ilvl="7" w:tplc="14CACEEA">
      <w:numFmt w:val="bullet"/>
      <w:lvlText w:val="•"/>
      <w:lvlJc w:val="left"/>
      <w:pPr>
        <w:ind w:left="6952" w:hanging="360"/>
      </w:pPr>
      <w:rPr>
        <w:rFonts w:hint="default"/>
      </w:rPr>
    </w:lvl>
    <w:lvl w:ilvl="8" w:tplc="9F26FF0A">
      <w:numFmt w:val="bullet"/>
      <w:lvlText w:val="•"/>
      <w:lvlJc w:val="left"/>
      <w:pPr>
        <w:ind w:left="7828" w:hanging="360"/>
      </w:pPr>
      <w:rPr>
        <w:rFonts w:hint="default"/>
      </w:rPr>
    </w:lvl>
  </w:abstractNum>
  <w:abstractNum w:abstractNumId="5" w15:restartNumberingAfterBreak="0">
    <w:nsid w:val="2D502147"/>
    <w:multiLevelType w:val="hybridMultilevel"/>
    <w:tmpl w:val="0CEC3EAE"/>
    <w:lvl w:ilvl="0" w:tplc="4AD67774">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9A2B81"/>
    <w:multiLevelType w:val="hybridMultilevel"/>
    <w:tmpl w:val="2CEE345C"/>
    <w:lvl w:ilvl="0" w:tplc="041F000B">
      <w:start w:val="1"/>
      <w:numFmt w:val="bullet"/>
      <w:lvlText w:val=""/>
      <w:lvlJc w:val="left"/>
      <w:pPr>
        <w:tabs>
          <w:tab w:val="num" w:pos="720"/>
        </w:tabs>
        <w:ind w:left="720" w:hanging="360"/>
      </w:pPr>
      <w:rPr>
        <w:rFonts w:ascii="Wingdings" w:hAnsi="Wingdings" w:hint="default"/>
      </w:rPr>
    </w:lvl>
    <w:lvl w:ilvl="1" w:tplc="F25C6BEC" w:tentative="1">
      <w:start w:val="1"/>
      <w:numFmt w:val="bullet"/>
      <w:lvlText w:val=""/>
      <w:lvlJc w:val="left"/>
      <w:pPr>
        <w:tabs>
          <w:tab w:val="num" w:pos="1440"/>
        </w:tabs>
        <w:ind w:left="1440" w:hanging="360"/>
      </w:pPr>
      <w:rPr>
        <w:rFonts w:ascii="Symbol" w:hAnsi="Symbol" w:hint="default"/>
      </w:rPr>
    </w:lvl>
    <w:lvl w:ilvl="2" w:tplc="97EE2A18" w:tentative="1">
      <w:start w:val="1"/>
      <w:numFmt w:val="bullet"/>
      <w:lvlText w:val=""/>
      <w:lvlJc w:val="left"/>
      <w:pPr>
        <w:tabs>
          <w:tab w:val="num" w:pos="2160"/>
        </w:tabs>
        <w:ind w:left="2160" w:hanging="360"/>
      </w:pPr>
      <w:rPr>
        <w:rFonts w:ascii="Symbol" w:hAnsi="Symbol" w:hint="default"/>
      </w:rPr>
    </w:lvl>
    <w:lvl w:ilvl="3" w:tplc="521209F6" w:tentative="1">
      <w:start w:val="1"/>
      <w:numFmt w:val="bullet"/>
      <w:lvlText w:val=""/>
      <w:lvlJc w:val="left"/>
      <w:pPr>
        <w:tabs>
          <w:tab w:val="num" w:pos="2880"/>
        </w:tabs>
        <w:ind w:left="2880" w:hanging="360"/>
      </w:pPr>
      <w:rPr>
        <w:rFonts w:ascii="Symbol" w:hAnsi="Symbol" w:hint="default"/>
      </w:rPr>
    </w:lvl>
    <w:lvl w:ilvl="4" w:tplc="893A0790" w:tentative="1">
      <w:start w:val="1"/>
      <w:numFmt w:val="bullet"/>
      <w:lvlText w:val=""/>
      <w:lvlJc w:val="left"/>
      <w:pPr>
        <w:tabs>
          <w:tab w:val="num" w:pos="3600"/>
        </w:tabs>
        <w:ind w:left="3600" w:hanging="360"/>
      </w:pPr>
      <w:rPr>
        <w:rFonts w:ascii="Symbol" w:hAnsi="Symbol" w:hint="default"/>
      </w:rPr>
    </w:lvl>
    <w:lvl w:ilvl="5" w:tplc="982A1C8E" w:tentative="1">
      <w:start w:val="1"/>
      <w:numFmt w:val="bullet"/>
      <w:lvlText w:val=""/>
      <w:lvlJc w:val="left"/>
      <w:pPr>
        <w:tabs>
          <w:tab w:val="num" w:pos="4320"/>
        </w:tabs>
        <w:ind w:left="4320" w:hanging="360"/>
      </w:pPr>
      <w:rPr>
        <w:rFonts w:ascii="Symbol" w:hAnsi="Symbol" w:hint="default"/>
      </w:rPr>
    </w:lvl>
    <w:lvl w:ilvl="6" w:tplc="CE4E2BCA" w:tentative="1">
      <w:start w:val="1"/>
      <w:numFmt w:val="bullet"/>
      <w:lvlText w:val=""/>
      <w:lvlJc w:val="left"/>
      <w:pPr>
        <w:tabs>
          <w:tab w:val="num" w:pos="5040"/>
        </w:tabs>
        <w:ind w:left="5040" w:hanging="360"/>
      </w:pPr>
      <w:rPr>
        <w:rFonts w:ascii="Symbol" w:hAnsi="Symbol" w:hint="default"/>
      </w:rPr>
    </w:lvl>
    <w:lvl w:ilvl="7" w:tplc="703E52F2" w:tentative="1">
      <w:start w:val="1"/>
      <w:numFmt w:val="bullet"/>
      <w:lvlText w:val=""/>
      <w:lvlJc w:val="left"/>
      <w:pPr>
        <w:tabs>
          <w:tab w:val="num" w:pos="5760"/>
        </w:tabs>
        <w:ind w:left="5760" w:hanging="360"/>
      </w:pPr>
      <w:rPr>
        <w:rFonts w:ascii="Symbol" w:hAnsi="Symbol" w:hint="default"/>
      </w:rPr>
    </w:lvl>
    <w:lvl w:ilvl="8" w:tplc="97A41C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DF85D97"/>
    <w:multiLevelType w:val="hybridMultilevel"/>
    <w:tmpl w:val="51E0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E0"/>
    <w:rsid w:val="000365C7"/>
    <w:rsid w:val="000424C7"/>
    <w:rsid w:val="00061B88"/>
    <w:rsid w:val="000C017E"/>
    <w:rsid w:val="000C4DB9"/>
    <w:rsid w:val="00146A6E"/>
    <w:rsid w:val="001719F8"/>
    <w:rsid w:val="001A4D10"/>
    <w:rsid w:val="001A7228"/>
    <w:rsid w:val="001C0387"/>
    <w:rsid w:val="00261C16"/>
    <w:rsid w:val="00270724"/>
    <w:rsid w:val="0028515E"/>
    <w:rsid w:val="002A360F"/>
    <w:rsid w:val="0030632D"/>
    <w:rsid w:val="003109B8"/>
    <w:rsid w:val="003124FD"/>
    <w:rsid w:val="00323B8C"/>
    <w:rsid w:val="00350A95"/>
    <w:rsid w:val="00352DB6"/>
    <w:rsid w:val="00375D92"/>
    <w:rsid w:val="003B0A1A"/>
    <w:rsid w:val="00453A2A"/>
    <w:rsid w:val="00456102"/>
    <w:rsid w:val="004678A8"/>
    <w:rsid w:val="004A6AAE"/>
    <w:rsid w:val="004B7270"/>
    <w:rsid w:val="004F52CE"/>
    <w:rsid w:val="00546882"/>
    <w:rsid w:val="00595285"/>
    <w:rsid w:val="005C35DF"/>
    <w:rsid w:val="005D3837"/>
    <w:rsid w:val="006108DB"/>
    <w:rsid w:val="00620778"/>
    <w:rsid w:val="00660E77"/>
    <w:rsid w:val="00672E73"/>
    <w:rsid w:val="00676149"/>
    <w:rsid w:val="00683315"/>
    <w:rsid w:val="00686E35"/>
    <w:rsid w:val="006A086D"/>
    <w:rsid w:val="006B2FEE"/>
    <w:rsid w:val="007008D3"/>
    <w:rsid w:val="00706860"/>
    <w:rsid w:val="00724E2A"/>
    <w:rsid w:val="007916B1"/>
    <w:rsid w:val="007979FF"/>
    <w:rsid w:val="007B0664"/>
    <w:rsid w:val="007E0FFD"/>
    <w:rsid w:val="0082021E"/>
    <w:rsid w:val="00826894"/>
    <w:rsid w:val="00834F21"/>
    <w:rsid w:val="00852EC2"/>
    <w:rsid w:val="008673BB"/>
    <w:rsid w:val="008D729A"/>
    <w:rsid w:val="009103D3"/>
    <w:rsid w:val="00911034"/>
    <w:rsid w:val="009740AD"/>
    <w:rsid w:val="009A3551"/>
    <w:rsid w:val="009B1333"/>
    <w:rsid w:val="009E1F36"/>
    <w:rsid w:val="00A2082E"/>
    <w:rsid w:val="00A61C77"/>
    <w:rsid w:val="00A64AFF"/>
    <w:rsid w:val="00A71C4F"/>
    <w:rsid w:val="00AD0BB9"/>
    <w:rsid w:val="00B105F3"/>
    <w:rsid w:val="00BD791E"/>
    <w:rsid w:val="00BE2E1B"/>
    <w:rsid w:val="00C13FF7"/>
    <w:rsid w:val="00C15CC3"/>
    <w:rsid w:val="00C51B2B"/>
    <w:rsid w:val="00C54E65"/>
    <w:rsid w:val="00C723BC"/>
    <w:rsid w:val="00CB54B9"/>
    <w:rsid w:val="00CF1BFD"/>
    <w:rsid w:val="00D027DF"/>
    <w:rsid w:val="00D31930"/>
    <w:rsid w:val="00D36C0D"/>
    <w:rsid w:val="00D814D7"/>
    <w:rsid w:val="00D931E0"/>
    <w:rsid w:val="00DB2B59"/>
    <w:rsid w:val="00DC6C9B"/>
    <w:rsid w:val="00E144ED"/>
    <w:rsid w:val="00E6228E"/>
    <w:rsid w:val="00E86F5A"/>
    <w:rsid w:val="00EA69F8"/>
    <w:rsid w:val="00F3452A"/>
    <w:rsid w:val="00F35146"/>
    <w:rsid w:val="00F47D43"/>
    <w:rsid w:val="00F5639D"/>
    <w:rsid w:val="00F853AE"/>
    <w:rsid w:val="00F91F98"/>
    <w:rsid w:val="00FD40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C90A0"/>
  <w15:chartTrackingRefBased/>
  <w15:docId w15:val="{BB057520-7BBE-4389-AE58-AC14670F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E0"/>
    <w:rPr>
      <w:lang w:val="tr-TR"/>
    </w:rPr>
  </w:style>
  <w:style w:type="paragraph" w:styleId="Ttulo1">
    <w:name w:val="heading 1"/>
    <w:basedOn w:val="Normal"/>
    <w:link w:val="Ttulo1Car"/>
    <w:uiPriority w:val="1"/>
    <w:qFormat/>
    <w:rsid w:val="00323B8C"/>
    <w:pPr>
      <w:widowControl w:val="0"/>
      <w:autoSpaceDE w:val="0"/>
      <w:autoSpaceDN w:val="0"/>
      <w:spacing w:after="0" w:line="240" w:lineRule="auto"/>
      <w:ind w:left="100"/>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31E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DocParagraph">
    <w:name w:val="Num-Doc Paragraph"/>
    <w:basedOn w:val="Textoindependiente"/>
    <w:rsid w:val="00D931E0"/>
    <w:pPr>
      <w:tabs>
        <w:tab w:val="left" w:pos="850"/>
        <w:tab w:val="left" w:pos="1191"/>
        <w:tab w:val="left" w:pos="1531"/>
      </w:tabs>
      <w:spacing w:after="240" w:line="240" w:lineRule="auto"/>
      <w:jc w:val="both"/>
    </w:pPr>
    <w:rPr>
      <w:rFonts w:ascii="Times New Roman" w:eastAsia="Times New Roman" w:hAnsi="Times New Roman" w:cs="Times New Roman"/>
      <w:lang w:val="en-GB" w:eastAsia="zh-CN"/>
    </w:rPr>
  </w:style>
  <w:style w:type="paragraph" w:styleId="Textoindependiente">
    <w:name w:val="Body Text"/>
    <w:basedOn w:val="Normal"/>
    <w:link w:val="TextoindependienteCar"/>
    <w:uiPriority w:val="99"/>
    <w:semiHidden/>
    <w:unhideWhenUsed/>
    <w:rsid w:val="00D931E0"/>
    <w:pPr>
      <w:spacing w:after="120"/>
    </w:pPr>
  </w:style>
  <w:style w:type="character" w:customStyle="1" w:styleId="TextoindependienteCar">
    <w:name w:val="Texto independiente Car"/>
    <w:basedOn w:val="Fuentedeprrafopredeter"/>
    <w:link w:val="Textoindependiente"/>
    <w:uiPriority w:val="99"/>
    <w:semiHidden/>
    <w:rsid w:val="00D931E0"/>
    <w:rPr>
      <w:lang w:val="tr-TR"/>
    </w:rPr>
  </w:style>
  <w:style w:type="paragraph" w:customStyle="1" w:styleId="Default">
    <w:name w:val="Default"/>
    <w:rsid w:val="00D931E0"/>
    <w:pPr>
      <w:autoSpaceDE w:val="0"/>
      <w:autoSpaceDN w:val="0"/>
      <w:adjustRightInd w:val="0"/>
      <w:spacing w:after="0" w:line="240" w:lineRule="auto"/>
    </w:pPr>
    <w:rPr>
      <w:rFonts w:ascii="Georgia" w:hAnsi="Georgia" w:cs="Georgia"/>
      <w:color w:val="000000"/>
      <w:sz w:val="24"/>
      <w:szCs w:val="24"/>
      <w:lang w:val="en-US"/>
    </w:rPr>
  </w:style>
  <w:style w:type="paragraph" w:styleId="Prrafodelista">
    <w:name w:val="List Paragraph"/>
    <w:basedOn w:val="Normal"/>
    <w:link w:val="PrrafodelistaCar"/>
    <w:uiPriority w:val="1"/>
    <w:qFormat/>
    <w:rsid w:val="00D931E0"/>
    <w:pPr>
      <w:ind w:left="720"/>
      <w:contextualSpacing/>
    </w:pPr>
  </w:style>
  <w:style w:type="paragraph" w:styleId="Textodeglobo">
    <w:name w:val="Balloon Text"/>
    <w:basedOn w:val="Normal"/>
    <w:link w:val="TextodegloboCar"/>
    <w:uiPriority w:val="99"/>
    <w:semiHidden/>
    <w:unhideWhenUsed/>
    <w:rsid w:val="003124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4FD"/>
    <w:rPr>
      <w:rFonts w:ascii="Segoe UI" w:hAnsi="Segoe UI" w:cs="Segoe UI"/>
      <w:sz w:val="18"/>
      <w:szCs w:val="18"/>
      <w:lang w:val="tr-TR"/>
    </w:rPr>
  </w:style>
  <w:style w:type="character" w:styleId="Refdecomentario">
    <w:name w:val="annotation reference"/>
    <w:basedOn w:val="Fuentedeprrafopredeter"/>
    <w:uiPriority w:val="99"/>
    <w:semiHidden/>
    <w:unhideWhenUsed/>
    <w:rsid w:val="003124FD"/>
    <w:rPr>
      <w:sz w:val="16"/>
      <w:szCs w:val="16"/>
    </w:rPr>
  </w:style>
  <w:style w:type="paragraph" w:styleId="Textocomentario">
    <w:name w:val="annotation text"/>
    <w:basedOn w:val="Normal"/>
    <w:link w:val="TextocomentarioCar"/>
    <w:uiPriority w:val="99"/>
    <w:semiHidden/>
    <w:unhideWhenUsed/>
    <w:rsid w:val="003124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24FD"/>
    <w:rPr>
      <w:sz w:val="20"/>
      <w:szCs w:val="20"/>
      <w:lang w:val="tr-TR"/>
    </w:rPr>
  </w:style>
  <w:style w:type="paragraph" w:styleId="Asuntodelcomentario">
    <w:name w:val="annotation subject"/>
    <w:basedOn w:val="Textocomentario"/>
    <w:next w:val="Textocomentario"/>
    <w:link w:val="AsuntodelcomentarioCar"/>
    <w:uiPriority w:val="99"/>
    <w:semiHidden/>
    <w:unhideWhenUsed/>
    <w:rsid w:val="003124FD"/>
    <w:rPr>
      <w:b/>
      <w:bCs/>
    </w:rPr>
  </w:style>
  <w:style w:type="character" w:customStyle="1" w:styleId="AsuntodelcomentarioCar">
    <w:name w:val="Asunto del comentario Car"/>
    <w:basedOn w:val="TextocomentarioCar"/>
    <w:link w:val="Asuntodelcomentario"/>
    <w:uiPriority w:val="99"/>
    <w:semiHidden/>
    <w:rsid w:val="003124FD"/>
    <w:rPr>
      <w:b/>
      <w:bCs/>
      <w:sz w:val="20"/>
      <w:szCs w:val="20"/>
      <w:lang w:val="tr-TR"/>
    </w:rPr>
  </w:style>
  <w:style w:type="character" w:styleId="Nmerodepgina">
    <w:name w:val="page number"/>
    <w:basedOn w:val="Fuentedeprrafopredeter"/>
    <w:semiHidden/>
    <w:unhideWhenUsed/>
    <w:rsid w:val="00AD0BB9"/>
  </w:style>
  <w:style w:type="character" w:styleId="Refdenotaalpie">
    <w:name w:val="footnote reference"/>
    <w:uiPriority w:val="99"/>
    <w:rsid w:val="00AD0BB9"/>
    <w:rPr>
      <w:rFonts w:ascii="Segoe UI" w:hAnsi="Segoe UI" w:cs="Times New Roman"/>
      <w:vertAlign w:val="superscript"/>
    </w:rPr>
  </w:style>
  <w:style w:type="character" w:customStyle="1" w:styleId="PrrafodelistaCar">
    <w:name w:val="Párrafo de lista Car"/>
    <w:basedOn w:val="Fuentedeprrafopredeter"/>
    <w:link w:val="Prrafodelista"/>
    <w:uiPriority w:val="34"/>
    <w:rsid w:val="00C13FF7"/>
    <w:rPr>
      <w:lang w:val="tr-TR"/>
    </w:rPr>
  </w:style>
  <w:style w:type="paragraph" w:styleId="Encabezado">
    <w:name w:val="header"/>
    <w:basedOn w:val="Normal"/>
    <w:link w:val="EncabezadoCar"/>
    <w:uiPriority w:val="99"/>
    <w:unhideWhenUsed/>
    <w:rsid w:val="00F5639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5639D"/>
    <w:rPr>
      <w:lang w:val="tr-TR"/>
    </w:rPr>
  </w:style>
  <w:style w:type="paragraph" w:styleId="Piedepgina">
    <w:name w:val="footer"/>
    <w:basedOn w:val="Normal"/>
    <w:link w:val="PiedepginaCar"/>
    <w:uiPriority w:val="99"/>
    <w:unhideWhenUsed/>
    <w:rsid w:val="00F5639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5639D"/>
    <w:rPr>
      <w:lang w:val="tr-TR"/>
    </w:rPr>
  </w:style>
  <w:style w:type="character" w:styleId="Hipervnculo">
    <w:name w:val="Hyperlink"/>
    <w:basedOn w:val="Fuentedeprrafopredeter"/>
    <w:uiPriority w:val="99"/>
    <w:unhideWhenUsed/>
    <w:rsid w:val="00672E73"/>
    <w:rPr>
      <w:color w:val="0563C1" w:themeColor="hyperlink"/>
      <w:u w:val="single"/>
    </w:rPr>
  </w:style>
  <w:style w:type="paragraph" w:styleId="Textonotapie">
    <w:name w:val="footnote text"/>
    <w:basedOn w:val="Normal"/>
    <w:link w:val="TextonotapieCar"/>
    <w:uiPriority w:val="99"/>
    <w:semiHidden/>
    <w:unhideWhenUsed/>
    <w:rsid w:val="00672E73"/>
    <w:pPr>
      <w:spacing w:after="0" w:line="240" w:lineRule="auto"/>
    </w:pPr>
    <w:rPr>
      <w:rFonts w:ascii="Times New Roman" w:eastAsia="Times New Roman" w:hAnsi="Times New Roman" w:cs="Times New Roman"/>
      <w:sz w:val="20"/>
      <w:szCs w:val="20"/>
      <w:lang w:val="nb-NO" w:eastAsia="nb-NO"/>
    </w:rPr>
  </w:style>
  <w:style w:type="character" w:customStyle="1" w:styleId="TextonotapieCar">
    <w:name w:val="Texto nota pie Car"/>
    <w:basedOn w:val="Fuentedeprrafopredeter"/>
    <w:link w:val="Textonotapie"/>
    <w:uiPriority w:val="99"/>
    <w:semiHidden/>
    <w:rsid w:val="00672E73"/>
    <w:rPr>
      <w:rFonts w:ascii="Times New Roman" w:eastAsia="Times New Roman" w:hAnsi="Times New Roman" w:cs="Times New Roman"/>
      <w:sz w:val="20"/>
      <w:szCs w:val="20"/>
      <w:lang w:val="nb-NO" w:eastAsia="nb-NO"/>
    </w:rPr>
  </w:style>
  <w:style w:type="character" w:styleId="Hipervnculovisitado">
    <w:name w:val="FollowedHyperlink"/>
    <w:basedOn w:val="Fuentedeprrafopredeter"/>
    <w:uiPriority w:val="99"/>
    <w:semiHidden/>
    <w:unhideWhenUsed/>
    <w:rsid w:val="00F35146"/>
    <w:rPr>
      <w:color w:val="954F72" w:themeColor="followedHyperlink"/>
      <w:u w:val="single"/>
    </w:rPr>
  </w:style>
  <w:style w:type="character" w:customStyle="1" w:styleId="Ttulo1Car">
    <w:name w:val="Título 1 Car"/>
    <w:basedOn w:val="Fuentedeprrafopredeter"/>
    <w:link w:val="Ttulo1"/>
    <w:uiPriority w:val="1"/>
    <w:rsid w:val="00323B8C"/>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1414">
      <w:bodyDiv w:val="1"/>
      <w:marLeft w:val="0"/>
      <w:marRight w:val="0"/>
      <w:marTop w:val="0"/>
      <w:marBottom w:val="0"/>
      <w:divBdr>
        <w:top w:val="none" w:sz="0" w:space="0" w:color="auto"/>
        <w:left w:val="none" w:sz="0" w:space="0" w:color="auto"/>
        <w:bottom w:val="none" w:sz="0" w:space="0" w:color="auto"/>
        <w:right w:val="none" w:sz="0" w:space="0" w:color="auto"/>
      </w:divBdr>
    </w:div>
    <w:div w:id="764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50.statcan.gc.ca/n1/en/pub/89-657-x/89-657-x2019007-eng.pdf?st=0vWfelb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50.statcan.gc.ca/n1/en/pub/89-657-x/89-657-x2019007-eng.pdf?st=0vWfelb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2.statcan.gc.ca/census-recensement/2016/as-sa/fogs-spg/Facts-can-eng.cfm?Lang=Eng&amp;amp;GK=CAN&amp;amp;GC=01&amp;amp;TOPIC=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2.statcan.gc.ca/census-recensement/2016/as-sa/fogs-spg/Facts-can-eng.cfm?Lang=Eng&amp;amp;GK=CAN&amp;amp;GC=01&amp;amp;TOPIC=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1FD5-0ACF-48CA-A2CA-A4B8FA11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5435</Characters>
  <Application>Microsoft Office Word</Application>
  <DocSecurity>0</DocSecurity>
  <Lines>45</Lines>
  <Paragraphs>12</Paragraphs>
  <ScaleCrop>false</ScaleCrop>
  <HeadingPairs>
    <vt:vector size="8" baseType="variant">
      <vt:variant>
        <vt:lpstr>Título</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Department of Foreign Affairs and Trade</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Jayne</dc:creator>
  <cp:keywords/>
  <dc:description/>
  <cp:lastModifiedBy>Usuario de Windows</cp:lastModifiedBy>
  <cp:revision>5</cp:revision>
  <cp:lastPrinted>2017-07-18T13:45:00Z</cp:lastPrinted>
  <dcterms:created xsi:type="dcterms:W3CDTF">2020-03-12T00:27:00Z</dcterms:created>
  <dcterms:modified xsi:type="dcterms:W3CDTF">2020-03-12T00:31:00Z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456c1525-c926-4eb7-8b45-80da91e524a1</vt:lpwstr>
  </property>
  <property fmtid="{D5CDD505-2E9C-101B-9397-08002B2CF9AE}" pid="3" name="SEC">
    <vt:lpwstr>UNCLASSIFIED</vt:lpwstr>
  </property>
  <property fmtid="{D5CDD505-2E9C-101B-9397-08002B2CF9AE}" pid="4" name="DLM">
    <vt:lpwstr>No DLM</vt:lpwstr>
  </property>
</Properties>
</file>